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C752B" w14:textId="37BFAC84" w:rsidR="00182E62" w:rsidRDefault="007F393F">
      <w:pPr>
        <w:pStyle w:val="Default"/>
        <w:jc w:val="both"/>
        <w:rPr>
          <w:b/>
        </w:rPr>
      </w:pPr>
      <w:r w:rsidRPr="007F393F">
        <w:rPr>
          <w:b/>
        </w:rPr>
        <w:t xml:space="preserve">PEAK-Matrix 2020 </w:t>
      </w:r>
      <w:proofErr w:type="spellStart"/>
      <w:r w:rsidRPr="007F393F">
        <w:rPr>
          <w:b/>
        </w:rPr>
        <w:t>der</w:t>
      </w:r>
      <w:proofErr w:type="spellEnd"/>
      <w:r w:rsidRPr="007F393F">
        <w:rPr>
          <w:b/>
        </w:rPr>
        <w:t xml:space="preserve"> Everest Group </w:t>
      </w:r>
      <w:proofErr w:type="spellStart"/>
      <w:r w:rsidRPr="007F393F">
        <w:rPr>
          <w:b/>
        </w:rPr>
        <w:t>bewertet</w:t>
      </w:r>
      <w:proofErr w:type="spellEnd"/>
      <w:r w:rsidRPr="007F393F">
        <w:rPr>
          <w:b/>
        </w:rPr>
        <w:t xml:space="preserve"> die Open-Banking-</w:t>
      </w:r>
      <w:proofErr w:type="spellStart"/>
      <w:r w:rsidRPr="007F393F">
        <w:rPr>
          <w:b/>
        </w:rPr>
        <w:t>Praxis</w:t>
      </w:r>
      <w:proofErr w:type="spellEnd"/>
      <w:r w:rsidRPr="007F393F">
        <w:rPr>
          <w:b/>
        </w:rPr>
        <w:t xml:space="preserve"> von NTT DATA </w:t>
      </w:r>
      <w:proofErr w:type="spellStart"/>
      <w:r w:rsidRPr="007F393F">
        <w:rPr>
          <w:b/>
        </w:rPr>
        <w:t>als</w:t>
      </w:r>
      <w:proofErr w:type="spellEnd"/>
      <w:r w:rsidRPr="007F393F">
        <w:rPr>
          <w:b/>
        </w:rPr>
        <w:t xml:space="preserve"> </w:t>
      </w:r>
      <w:proofErr w:type="spellStart"/>
      <w:r w:rsidRPr="007F393F">
        <w:rPr>
          <w:b/>
        </w:rPr>
        <w:t>führender</w:t>
      </w:r>
      <w:proofErr w:type="spellEnd"/>
      <w:r w:rsidRPr="007F393F">
        <w:rPr>
          <w:b/>
        </w:rPr>
        <w:t xml:space="preserve"> </w:t>
      </w:r>
      <w:proofErr w:type="spellStart"/>
      <w:r w:rsidRPr="007F393F">
        <w:rPr>
          <w:b/>
        </w:rPr>
        <w:t>Anbieter</w:t>
      </w:r>
      <w:proofErr w:type="spellEnd"/>
      <w:r w:rsidRPr="007F393F">
        <w:rPr>
          <w:b/>
        </w:rPr>
        <w:t xml:space="preserve"> </w:t>
      </w:r>
      <w:proofErr w:type="spellStart"/>
      <w:r w:rsidRPr="007F393F">
        <w:rPr>
          <w:b/>
        </w:rPr>
        <w:t>für</w:t>
      </w:r>
      <w:proofErr w:type="spellEnd"/>
      <w:r w:rsidRPr="007F393F">
        <w:rPr>
          <w:b/>
        </w:rPr>
        <w:t xml:space="preserve"> Open-Banking-IT-Services</w:t>
      </w:r>
    </w:p>
    <w:p w14:paraId="4F4A0C55" w14:textId="77777777" w:rsidR="007F393F" w:rsidRPr="0082069F" w:rsidRDefault="007F393F">
      <w:pPr>
        <w:pStyle w:val="Default"/>
        <w:jc w:val="both"/>
        <w:rPr>
          <w:rFonts w:ascii="Arial" w:hAnsi="Arial" w:cs="Arial"/>
          <w:b/>
          <w:sz w:val="20"/>
          <w:lang w:val="de-DE"/>
        </w:rPr>
      </w:pPr>
    </w:p>
    <w:p w14:paraId="43FECEC6" w14:textId="5AB90219" w:rsidR="007F393F" w:rsidRPr="005A3274" w:rsidRDefault="007F393F" w:rsidP="007F393F">
      <w:pPr>
        <w:pStyle w:val="Default"/>
        <w:jc w:val="both"/>
        <w:rPr>
          <w:rFonts w:ascii="Arial" w:eastAsia="Times New Roman" w:hAnsi="Arial" w:cs="Arial"/>
          <w:sz w:val="20"/>
          <w:szCs w:val="20"/>
          <w:lang w:val="de-DE" w:eastAsia="en-GB"/>
        </w:rPr>
      </w:pPr>
      <w:r>
        <w:rPr>
          <w:rFonts w:ascii="Arial" w:hAnsi="Arial" w:cs="Arial"/>
          <w:b/>
          <w:sz w:val="20"/>
          <w:lang w:val="de-DE"/>
        </w:rPr>
        <w:t xml:space="preserve">Tokio, </w:t>
      </w:r>
      <w:r w:rsidR="00A53BEE" w:rsidRPr="0082069F">
        <w:rPr>
          <w:rFonts w:ascii="Arial" w:hAnsi="Arial" w:cs="Arial"/>
          <w:b/>
          <w:sz w:val="20"/>
          <w:lang w:val="de-DE"/>
        </w:rPr>
        <w:t>München</w:t>
      </w:r>
      <w:r w:rsidR="00F550F6">
        <w:rPr>
          <w:rFonts w:ascii="Arial" w:hAnsi="Arial" w:cs="Arial"/>
          <w:b/>
          <w:sz w:val="20"/>
          <w:lang w:val="de-DE"/>
        </w:rPr>
        <w:t>,</w:t>
      </w:r>
      <w:r w:rsidR="00182E62" w:rsidRPr="0082069F">
        <w:rPr>
          <w:rFonts w:ascii="Arial" w:hAnsi="Arial" w:cs="Arial"/>
          <w:b/>
          <w:sz w:val="20"/>
          <w:lang w:val="de-DE"/>
        </w:rPr>
        <w:t xml:space="preserve"> </w:t>
      </w:r>
      <w:r w:rsidR="00FA641C">
        <w:rPr>
          <w:rFonts w:ascii="Arial" w:hAnsi="Arial" w:cs="Arial"/>
          <w:b/>
          <w:sz w:val="20"/>
          <w:lang w:val="de-DE"/>
        </w:rPr>
        <w:t>2</w:t>
      </w:r>
      <w:r>
        <w:rPr>
          <w:rFonts w:ascii="Arial" w:hAnsi="Arial" w:cs="Arial"/>
          <w:b/>
          <w:sz w:val="20"/>
          <w:lang w:val="de-DE"/>
        </w:rPr>
        <w:t>9</w:t>
      </w:r>
      <w:r w:rsidR="00A53BEE" w:rsidRPr="0082069F">
        <w:rPr>
          <w:rFonts w:ascii="Arial" w:hAnsi="Arial" w:cs="Arial"/>
          <w:b/>
          <w:sz w:val="20"/>
          <w:lang w:val="de-DE"/>
        </w:rPr>
        <w:t xml:space="preserve">. </w:t>
      </w:r>
      <w:r w:rsidR="00FA641C">
        <w:rPr>
          <w:rFonts w:ascii="Arial" w:hAnsi="Arial" w:cs="Arial"/>
          <w:b/>
          <w:sz w:val="20"/>
          <w:lang w:val="de-DE"/>
        </w:rPr>
        <w:t>Mai</w:t>
      </w:r>
      <w:r w:rsidR="00A53BEE" w:rsidRPr="0082069F">
        <w:rPr>
          <w:rFonts w:ascii="Arial" w:hAnsi="Arial" w:cs="Arial"/>
          <w:b/>
          <w:sz w:val="20"/>
          <w:lang w:val="de-DE"/>
        </w:rPr>
        <w:t xml:space="preserve"> 20</w:t>
      </w:r>
      <w:r w:rsidR="00F550F6">
        <w:rPr>
          <w:rFonts w:ascii="Arial" w:hAnsi="Arial" w:cs="Arial"/>
          <w:b/>
          <w:sz w:val="20"/>
          <w:lang w:val="de-DE"/>
        </w:rPr>
        <w:t>20</w:t>
      </w:r>
      <w:r w:rsidR="00A53BEE" w:rsidRPr="0082069F">
        <w:rPr>
          <w:rFonts w:ascii="Arial" w:hAnsi="Arial" w:cs="Arial"/>
          <w:sz w:val="20"/>
          <w:lang w:val="de-DE"/>
        </w:rPr>
        <w:t xml:space="preserve"> –</w:t>
      </w:r>
      <w:r>
        <w:rPr>
          <w:rFonts w:ascii="Arial" w:hAnsi="Arial" w:cs="Arial"/>
          <w:sz w:val="20"/>
          <w:lang w:val="de-DE"/>
        </w:rPr>
        <w:t xml:space="preserve"> </w:t>
      </w:r>
      <w:r w:rsidRPr="008052E1">
        <w:rPr>
          <w:rFonts w:ascii="Arial" w:eastAsia="Times New Roman" w:hAnsi="Arial" w:cs="Arial"/>
          <w:sz w:val="20"/>
          <w:szCs w:val="20"/>
          <w:lang w:val="de-DE" w:eastAsia="en-GB"/>
        </w:rPr>
        <w:t xml:space="preserve">NTT DATA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ist führender Anbieter </w:t>
      </w:r>
      <w:r w:rsidR="00426329">
        <w:rPr>
          <w:rFonts w:ascii="Arial" w:eastAsia="Times New Roman" w:hAnsi="Arial" w:cs="Arial"/>
          <w:sz w:val="20"/>
          <w:szCs w:val="20"/>
          <w:lang w:val="de-DE" w:eastAsia="en-GB"/>
        </w:rPr>
        <w:t xml:space="preserve">für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Open-Banking-IT-Services</w:t>
      </w:r>
      <w:r w:rsidRPr="008052E1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laut </w:t>
      </w:r>
      <w:r w:rsidRPr="008052E1">
        <w:rPr>
          <w:rFonts w:ascii="Arial" w:eastAsia="Times New Roman" w:hAnsi="Arial" w:cs="Arial"/>
          <w:sz w:val="20"/>
          <w:szCs w:val="20"/>
          <w:lang w:val="de-DE" w:eastAsia="en-GB"/>
        </w:rPr>
        <w:t>der PEAK</w:t>
      </w:r>
      <w:r w:rsidRPr="008052E1">
        <w:rPr>
          <w:rFonts w:ascii="Arial" w:eastAsia="Times New Roman" w:hAnsi="Arial" w:cs="Arial"/>
          <w:sz w:val="20"/>
          <w:szCs w:val="20"/>
          <w:vertAlign w:val="superscript"/>
          <w:lang w:val="de-DE" w:eastAsia="en-GB"/>
        </w:rPr>
        <w:t>®</w:t>
      </w:r>
      <w:r w:rsidRPr="008052E1">
        <w:rPr>
          <w:rFonts w:ascii="Arial" w:eastAsia="Times New Roman" w:hAnsi="Arial" w:cs="Arial"/>
          <w:sz w:val="20"/>
          <w:szCs w:val="20"/>
          <w:lang w:val="de-DE" w:eastAsia="en-GB"/>
        </w:rPr>
        <w:t xml:space="preserve">-Matrix-Bewertung der Everest Group 2020. </w:t>
      </w:r>
      <w:r w:rsidRPr="005A3274">
        <w:rPr>
          <w:rFonts w:ascii="Arial" w:eastAsia="Times New Roman" w:hAnsi="Arial" w:cs="Arial"/>
          <w:sz w:val="20"/>
          <w:szCs w:val="20"/>
          <w:lang w:val="de-DE" w:eastAsia="en-GB"/>
        </w:rPr>
        <w:t>Die PEAK-Matrix ist ein objektive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s</w:t>
      </w:r>
      <w:r w:rsidRPr="005A3274">
        <w:rPr>
          <w:rFonts w:ascii="Arial" w:eastAsia="Times New Roman" w:hAnsi="Arial" w:cs="Arial"/>
          <w:sz w:val="20"/>
          <w:szCs w:val="20"/>
          <w:lang w:val="de-DE" w:eastAsia="en-GB"/>
        </w:rPr>
        <w:t>, datenorientierte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s</w:t>
      </w:r>
      <w:r w:rsidRPr="005A3274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Framework</w:t>
      </w:r>
      <w:r w:rsidRPr="005A3274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zur Identifizierung des relativen Markterfolgs und der Fähigkeiten von Dienstleistern. Die Bewertung untersuchte den offenen Bankenmarkt über die Compliance hinaus und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berücksichtigte</w:t>
      </w:r>
      <w:r w:rsidRPr="005A3274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Erfolgsmethoden</w:t>
      </w:r>
      <w:r w:rsidRPr="005A3274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und Innovationen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bei</w:t>
      </w:r>
      <w:r w:rsidRPr="005A3274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plattformbasierten Betriebsmodellen der Ökosystemorchestrierung und Wertschöpfung.</w:t>
      </w:r>
    </w:p>
    <w:p w14:paraId="214F601E" w14:textId="77777777" w:rsidR="007F393F" w:rsidRPr="005A3274" w:rsidRDefault="007F393F" w:rsidP="007F393F">
      <w:pPr>
        <w:spacing w:before="100" w:beforeAutospacing="1" w:after="100" w:afterAutospacing="1"/>
        <w:rPr>
          <w:rFonts w:eastAsia="Times New Roman" w:cs="Arial"/>
          <w:color w:val="000000"/>
          <w:szCs w:val="20"/>
          <w:lang w:val="de-DE" w:eastAsia="en-GB"/>
        </w:rPr>
      </w:pPr>
      <w:r w:rsidRPr="005A3274">
        <w:rPr>
          <w:rFonts w:eastAsia="Times New Roman" w:cs="Arial"/>
          <w:color w:val="000000"/>
          <w:szCs w:val="20"/>
          <w:lang w:val="de-DE" w:eastAsia="en-GB"/>
        </w:rPr>
        <w:t>D</w:t>
      </w:r>
      <w:r>
        <w:rPr>
          <w:rFonts w:eastAsia="Times New Roman" w:cs="Arial"/>
          <w:color w:val="000000"/>
          <w:szCs w:val="20"/>
          <w:lang w:val="de-DE" w:eastAsia="en-GB"/>
        </w:rPr>
        <w:t>er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Open-Banking-Praxis von NTT DATA </w:t>
      </w:r>
      <w:r>
        <w:rPr>
          <w:rFonts w:eastAsia="Times New Roman" w:cs="Arial"/>
          <w:color w:val="000000"/>
          <w:szCs w:val="20"/>
          <w:lang w:val="de-DE" w:eastAsia="en-GB"/>
        </w:rPr>
        <w:t>wurde dabei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</w:t>
      </w:r>
      <w:r>
        <w:rPr>
          <w:rFonts w:eastAsia="Times New Roman" w:cs="Arial"/>
          <w:color w:val="000000"/>
          <w:szCs w:val="20"/>
          <w:lang w:val="de-DE" w:eastAsia="en-GB"/>
        </w:rPr>
        <w:t>ein führender Status zugesprochen.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</w:t>
      </w:r>
      <w:r>
        <w:rPr>
          <w:rFonts w:eastAsia="Times New Roman" w:cs="Arial"/>
          <w:color w:val="000000"/>
          <w:szCs w:val="20"/>
          <w:lang w:val="de-DE" w:eastAsia="en-GB"/>
        </w:rPr>
        <w:t>Als führend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</w:t>
      </w:r>
      <w:r>
        <w:rPr>
          <w:rFonts w:eastAsia="Times New Roman" w:cs="Arial"/>
          <w:color w:val="000000"/>
          <w:szCs w:val="20"/>
          <w:lang w:val="de-DE" w:eastAsia="en-GB"/>
        </w:rPr>
        <w:t>werden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vertrauenswürdige Partner </w:t>
      </w:r>
      <w:r>
        <w:rPr>
          <w:rFonts w:eastAsia="Times New Roman" w:cs="Arial"/>
          <w:color w:val="000000"/>
          <w:szCs w:val="20"/>
          <w:lang w:val="de-DE" w:eastAsia="en-GB"/>
        </w:rPr>
        <w:t>der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digitalen Transformation von</w:t>
      </w:r>
      <w:r>
        <w:rPr>
          <w:rFonts w:eastAsia="Times New Roman" w:cs="Arial"/>
          <w:color w:val="000000"/>
          <w:szCs w:val="20"/>
          <w:lang w:val="de-DE" w:eastAsia="en-GB"/>
        </w:rPr>
        <w:t xml:space="preserve"> Banking- &amp; Financial- Service-Unternehmen (BFS)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</w:t>
      </w:r>
      <w:r>
        <w:rPr>
          <w:rFonts w:eastAsia="Times New Roman" w:cs="Arial"/>
          <w:color w:val="000000"/>
          <w:szCs w:val="20"/>
          <w:lang w:val="de-DE" w:eastAsia="en-GB"/>
        </w:rPr>
        <w:t>bezeichnet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, die durch ihr tiefgehendes Know-how in den Bereichen API-Management, zentrale Modernisierungsinitiativen und globale Bereitstellungskapazitäten eine offene API-Strategie fördern. Um als </w:t>
      </w:r>
      <w:r>
        <w:rPr>
          <w:rFonts w:eastAsia="Times New Roman" w:cs="Arial"/>
          <w:color w:val="000000"/>
          <w:szCs w:val="20"/>
          <w:lang w:val="de-DE" w:eastAsia="en-GB"/>
        </w:rPr>
        <w:t>führender Anbieter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</w:t>
      </w:r>
      <w:r>
        <w:rPr>
          <w:rFonts w:eastAsia="Times New Roman" w:cs="Arial"/>
          <w:color w:val="000000"/>
          <w:szCs w:val="20"/>
          <w:lang w:val="de-DE" w:eastAsia="en-GB"/>
        </w:rPr>
        <w:t>ausgezeichnet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zu werden, muss eine Organisation </w:t>
      </w:r>
      <w:r>
        <w:rPr>
          <w:rFonts w:eastAsia="Times New Roman" w:cs="Arial"/>
          <w:color w:val="000000"/>
          <w:szCs w:val="20"/>
          <w:lang w:val="de-DE" w:eastAsia="en-GB"/>
        </w:rPr>
        <w:t>Fachexpertise zu den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Vorschriften für Open-Banking sowie solide Investitionen in IP, Tools und Frameworks nachweisen, um Kunden </w:t>
      </w:r>
      <w:r>
        <w:rPr>
          <w:rFonts w:eastAsia="Times New Roman" w:cs="Arial"/>
          <w:color w:val="000000"/>
          <w:szCs w:val="20"/>
          <w:lang w:val="de-DE" w:eastAsia="en-GB"/>
        </w:rPr>
        <w:t xml:space="preserve">bei 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>ihre</w:t>
      </w:r>
      <w:r>
        <w:rPr>
          <w:rFonts w:eastAsia="Times New Roman" w:cs="Arial"/>
          <w:color w:val="000000"/>
          <w:szCs w:val="20"/>
          <w:lang w:val="de-DE" w:eastAsia="en-GB"/>
        </w:rPr>
        <w:t>n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Open-Banking-Unternehmungen zu unterstützen.</w:t>
      </w:r>
    </w:p>
    <w:p w14:paraId="7D271EBC" w14:textId="77777777" w:rsidR="007F393F" w:rsidRPr="005A3274" w:rsidRDefault="007F393F" w:rsidP="007F393F">
      <w:pPr>
        <w:spacing w:before="100" w:beforeAutospacing="1" w:after="100" w:afterAutospacing="1"/>
        <w:rPr>
          <w:rFonts w:eastAsia="Times New Roman" w:cs="Arial"/>
          <w:color w:val="000000"/>
          <w:szCs w:val="20"/>
          <w:lang w:val="de-DE" w:eastAsia="en-GB"/>
        </w:rPr>
      </w:pPr>
      <w:r>
        <w:rPr>
          <w:rFonts w:eastAsia="Times New Roman" w:cs="Arial"/>
          <w:color w:val="000000"/>
          <w:szCs w:val="20"/>
          <w:lang w:val="de-DE" w:eastAsia="en-GB"/>
        </w:rPr>
        <w:t>Führende Anbieter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bieten der Branche eine Vision, indem sie </w:t>
      </w:r>
      <w:r>
        <w:rPr>
          <w:rFonts w:eastAsia="Times New Roman" w:cs="Arial"/>
          <w:color w:val="000000"/>
          <w:szCs w:val="20"/>
          <w:lang w:val="de-DE" w:eastAsia="en-GB"/>
        </w:rPr>
        <w:t>ihre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Serviceangebote </w:t>
      </w:r>
      <w:r>
        <w:rPr>
          <w:rFonts w:eastAsia="Times New Roman" w:cs="Arial"/>
          <w:color w:val="000000"/>
          <w:szCs w:val="20"/>
          <w:lang w:val="de-DE" w:eastAsia="en-GB"/>
        </w:rPr>
        <w:t xml:space="preserve">über die Compliance hinaus 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erweitern. Dadurch werden Banken in die Lage versetzt, ein offenes und </w:t>
      </w:r>
      <w:proofErr w:type="spellStart"/>
      <w:r w:rsidRPr="005A3274">
        <w:rPr>
          <w:rFonts w:eastAsia="Times New Roman" w:cs="Arial"/>
          <w:color w:val="000000"/>
          <w:szCs w:val="20"/>
          <w:lang w:val="de-DE" w:eastAsia="en-GB"/>
        </w:rPr>
        <w:t>kollaboratives</w:t>
      </w:r>
      <w:proofErr w:type="spellEnd"/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Umfeld zu orchestrieren und über Compliance </w:t>
      </w:r>
      <w:r>
        <w:rPr>
          <w:rFonts w:eastAsia="Times New Roman" w:cs="Arial"/>
          <w:color w:val="000000"/>
          <w:szCs w:val="20"/>
          <w:lang w:val="de-DE" w:eastAsia="en-GB"/>
        </w:rPr>
        <w:t>hinaus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einen Geschäftswert aus dem Open-Banking zu generieren.</w:t>
      </w:r>
    </w:p>
    <w:p w14:paraId="60D30935" w14:textId="77777777" w:rsidR="007F393F" w:rsidRPr="005A3274" w:rsidRDefault="007F393F" w:rsidP="007F393F">
      <w:pPr>
        <w:spacing w:before="100" w:beforeAutospacing="1" w:after="100" w:afterAutospacing="1"/>
        <w:rPr>
          <w:rFonts w:eastAsia="Times New Roman" w:cs="Arial"/>
          <w:color w:val="000000"/>
          <w:szCs w:val="20"/>
          <w:lang w:val="de-DE" w:eastAsia="en-GB"/>
        </w:rPr>
      </w:pPr>
      <w:r w:rsidRPr="005A3274">
        <w:rPr>
          <w:rFonts w:eastAsia="Times New Roman" w:cs="Arial"/>
          <w:color w:val="000000"/>
          <w:szCs w:val="20"/>
          <w:lang w:val="de-DE" w:eastAsia="en-GB"/>
        </w:rPr>
        <w:t>Die Open-Banking-Praxis von NTT DATA erreichte in folgenden Bereichen hohe Punktzahlen:</w:t>
      </w:r>
    </w:p>
    <w:p w14:paraId="1B151A49" w14:textId="77777777" w:rsidR="007F393F" w:rsidRPr="002B00CA" w:rsidRDefault="007F393F" w:rsidP="007F393F">
      <w:pPr>
        <w:pStyle w:val="Listenabsatz"/>
        <w:numPr>
          <w:ilvl w:val="0"/>
          <w:numId w:val="18"/>
        </w:numPr>
        <w:spacing w:before="100" w:beforeAutospacing="1" w:after="100" w:afterAutospacing="1"/>
        <w:rPr>
          <w:rFonts w:eastAsia="Times New Roman" w:cs="Arial"/>
          <w:color w:val="000000"/>
          <w:szCs w:val="20"/>
          <w:lang w:val="de-DE" w:eastAsia="en-GB"/>
        </w:rPr>
      </w:pPr>
      <w:r w:rsidRPr="002B00CA">
        <w:rPr>
          <w:rFonts w:eastAsia="Times New Roman" w:cs="Arial"/>
          <w:color w:val="000000"/>
          <w:szCs w:val="20"/>
          <w:lang w:val="de-DE" w:eastAsia="en-GB"/>
        </w:rPr>
        <w:t>Marktakzeptanz und Wertschöpfung für einen breiten Kundenstamm sowie erfolgreiche Geschäftsabschlüsse im gesamten Bankwesen</w:t>
      </w:r>
    </w:p>
    <w:p w14:paraId="139E28CE" w14:textId="77777777" w:rsidR="007F393F" w:rsidRPr="002B00CA" w:rsidRDefault="007F393F" w:rsidP="007F393F">
      <w:pPr>
        <w:pStyle w:val="Listenabsatz"/>
        <w:numPr>
          <w:ilvl w:val="0"/>
          <w:numId w:val="18"/>
        </w:numPr>
        <w:spacing w:before="100" w:beforeAutospacing="1" w:after="100" w:afterAutospacing="1"/>
        <w:rPr>
          <w:rFonts w:eastAsia="Times New Roman" w:cs="Arial"/>
          <w:color w:val="000000"/>
          <w:szCs w:val="20"/>
          <w:lang w:val="de-DE" w:eastAsia="en-GB"/>
        </w:rPr>
      </w:pPr>
      <w:r w:rsidRPr="002B00CA">
        <w:rPr>
          <w:rFonts w:eastAsia="Times New Roman" w:cs="Arial"/>
          <w:color w:val="000000"/>
          <w:szCs w:val="20"/>
          <w:lang w:val="de-DE" w:eastAsia="en-GB"/>
        </w:rPr>
        <w:t>Innovation, Investitionen, Vision und Strategie</w:t>
      </w:r>
    </w:p>
    <w:p w14:paraId="359028D9" w14:textId="77777777" w:rsidR="007F393F" w:rsidRPr="002B00CA" w:rsidRDefault="007F393F" w:rsidP="007F393F">
      <w:pPr>
        <w:pStyle w:val="Listenabsatz"/>
        <w:numPr>
          <w:ilvl w:val="0"/>
          <w:numId w:val="18"/>
        </w:numPr>
        <w:spacing w:before="100" w:beforeAutospacing="1" w:after="100" w:afterAutospacing="1"/>
        <w:rPr>
          <w:rFonts w:eastAsia="Times New Roman" w:cs="Arial"/>
          <w:color w:val="000000"/>
          <w:szCs w:val="20"/>
          <w:lang w:val="de-DE" w:eastAsia="en-GB"/>
        </w:rPr>
      </w:pPr>
      <w:r w:rsidRPr="002B00CA">
        <w:rPr>
          <w:rFonts w:eastAsia="Times New Roman" w:cs="Arial"/>
          <w:color w:val="000000"/>
          <w:szCs w:val="20"/>
          <w:lang w:val="de-DE" w:eastAsia="en-GB"/>
        </w:rPr>
        <w:t>Investitionen in Talent- und Innovationslabors zur Erweiterung und Etablierung einer globalen Präsenz mit Präsenz in LATAM und den USA, um die dort aufkommende Nachfrage nach Open-Banking zu bedienen</w:t>
      </w:r>
    </w:p>
    <w:p w14:paraId="767BE7A4" w14:textId="77777777" w:rsidR="007F393F" w:rsidRPr="005A3274" w:rsidRDefault="007F393F" w:rsidP="007F393F">
      <w:pPr>
        <w:spacing w:before="100" w:beforeAutospacing="1" w:after="100" w:afterAutospacing="1"/>
        <w:rPr>
          <w:rFonts w:eastAsia="Times New Roman" w:cs="Arial"/>
          <w:color w:val="000000"/>
          <w:szCs w:val="20"/>
          <w:lang w:val="de-DE" w:eastAsia="en-GB"/>
        </w:rPr>
      </w:pP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Insbesondere die Kundeninterviews, die von der Everest Group während des Berichtsprozesses durchgeführt wurden, </w:t>
      </w:r>
      <w:r>
        <w:rPr>
          <w:rFonts w:eastAsia="Times New Roman" w:cs="Arial"/>
          <w:color w:val="000000"/>
          <w:szCs w:val="20"/>
          <w:lang w:val="de-DE" w:eastAsia="en-GB"/>
        </w:rPr>
        <w:t>zeugten von der herausragenden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Kompetenz von NTT DATA </w:t>
      </w:r>
      <w:r>
        <w:rPr>
          <w:rFonts w:eastAsia="Times New Roman" w:cs="Arial"/>
          <w:color w:val="000000"/>
          <w:szCs w:val="20"/>
          <w:lang w:val="de-DE" w:eastAsia="en-GB"/>
        </w:rPr>
        <w:t>bei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Technologie, offene</w:t>
      </w:r>
      <w:r>
        <w:rPr>
          <w:rFonts w:eastAsia="Times New Roman" w:cs="Arial"/>
          <w:color w:val="000000"/>
          <w:szCs w:val="20"/>
          <w:lang w:val="de-DE" w:eastAsia="en-GB"/>
        </w:rPr>
        <w:t>r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Kommunikation und Verfügbarkeit von Ressourcen.</w:t>
      </w:r>
    </w:p>
    <w:p w14:paraId="0A72847B" w14:textId="77777777" w:rsidR="007F393F" w:rsidRPr="005A3274" w:rsidRDefault="007F393F" w:rsidP="007F393F">
      <w:pPr>
        <w:spacing w:before="100" w:beforeAutospacing="1" w:after="100" w:afterAutospacing="1"/>
        <w:rPr>
          <w:rFonts w:eastAsia="Times New Roman" w:cs="Arial"/>
          <w:color w:val="000000"/>
          <w:szCs w:val="20"/>
          <w:lang w:val="de-DE" w:eastAsia="en-GB"/>
        </w:rPr>
      </w:pP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„Eine Mischung aus regulatorischen und marktwirtschaftlichen Kräften </w:t>
      </w:r>
      <w:r>
        <w:rPr>
          <w:rFonts w:eastAsia="Times New Roman" w:cs="Arial"/>
          <w:color w:val="000000"/>
          <w:szCs w:val="20"/>
          <w:lang w:val="de-DE" w:eastAsia="en-GB"/>
        </w:rPr>
        <w:t>treibt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BFS-Unternehmen</w:t>
      </w:r>
      <w:r>
        <w:rPr>
          <w:rFonts w:eastAsia="Times New Roman" w:cs="Arial"/>
          <w:color w:val="000000"/>
          <w:szCs w:val="20"/>
          <w:lang w:val="de-DE" w:eastAsia="en-GB"/>
        </w:rPr>
        <w:t xml:space="preserve"> dazu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, ein offenes und </w:t>
      </w:r>
      <w:proofErr w:type="spellStart"/>
      <w:r w:rsidRPr="005A3274">
        <w:rPr>
          <w:rFonts w:eastAsia="Times New Roman" w:cs="Arial"/>
          <w:color w:val="000000"/>
          <w:szCs w:val="20"/>
          <w:lang w:val="de-DE" w:eastAsia="en-GB"/>
        </w:rPr>
        <w:t>kollaboratives</w:t>
      </w:r>
      <w:proofErr w:type="spellEnd"/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Umfeld zu entwickeln, in dem ein Ökosystem für Finanzdienstleistungen bzw. -produ</w:t>
      </w:r>
      <w:r>
        <w:rPr>
          <w:rFonts w:eastAsia="Times New Roman" w:cs="Arial"/>
          <w:color w:val="000000"/>
          <w:szCs w:val="20"/>
          <w:lang w:val="de-DE" w:eastAsia="en-GB"/>
        </w:rPr>
        <w:t xml:space="preserve">kte aufgebaut werden kann. Open 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Banking ist ein wichtiger Wegbereiter, wenn es darum geht, die Rolle </w:t>
      </w:r>
      <w:r>
        <w:rPr>
          <w:rFonts w:eastAsia="Times New Roman" w:cs="Arial"/>
          <w:color w:val="000000"/>
          <w:szCs w:val="20"/>
          <w:lang w:val="de-DE" w:eastAsia="en-GB"/>
        </w:rPr>
        <w:t>der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BFS-Unternehmen von Finanzdienstleistern zu </w:t>
      </w:r>
      <w:r>
        <w:rPr>
          <w:rFonts w:eastAsia="Times New Roman" w:cs="Arial"/>
          <w:color w:val="000000"/>
          <w:szCs w:val="20"/>
          <w:lang w:val="de-DE" w:eastAsia="en-GB"/>
        </w:rPr>
        <w:t xml:space="preserve">Begleitern von 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>Lifestyle</w:t>
      </w:r>
      <w:r>
        <w:rPr>
          <w:rFonts w:eastAsia="Times New Roman" w:cs="Arial"/>
          <w:color w:val="000000"/>
          <w:szCs w:val="20"/>
          <w:lang w:val="de-DE" w:eastAsia="en-GB"/>
        </w:rPr>
        <w:t xml:space="preserve"> und Erfahrungen 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zu verändern", so </w:t>
      </w:r>
      <w:proofErr w:type="spellStart"/>
      <w:r w:rsidRPr="005A3274">
        <w:rPr>
          <w:rFonts w:eastAsia="Times New Roman" w:cs="Arial"/>
          <w:color w:val="000000"/>
          <w:szCs w:val="20"/>
          <w:lang w:val="de-DE" w:eastAsia="en-GB"/>
        </w:rPr>
        <w:t>Ronak</w:t>
      </w:r>
      <w:proofErr w:type="spellEnd"/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</w:t>
      </w:r>
      <w:proofErr w:type="spellStart"/>
      <w:r w:rsidRPr="005A3274">
        <w:rPr>
          <w:rFonts w:eastAsia="Times New Roman" w:cs="Arial"/>
          <w:color w:val="000000"/>
          <w:szCs w:val="20"/>
          <w:lang w:val="de-DE" w:eastAsia="en-GB"/>
        </w:rPr>
        <w:t>Doshi</w:t>
      </w:r>
      <w:proofErr w:type="spellEnd"/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, </w:t>
      </w:r>
      <w:proofErr w:type="spellStart"/>
      <w:r w:rsidRPr="005A3274">
        <w:rPr>
          <w:rFonts w:eastAsia="Times New Roman" w:cs="Arial"/>
          <w:color w:val="000000"/>
          <w:szCs w:val="20"/>
          <w:lang w:val="de-DE" w:eastAsia="en-GB"/>
        </w:rPr>
        <w:t>Vice</w:t>
      </w:r>
      <w:proofErr w:type="spellEnd"/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</w:t>
      </w:r>
      <w:proofErr w:type="spellStart"/>
      <w:r w:rsidRPr="005A3274">
        <w:rPr>
          <w:rFonts w:eastAsia="Times New Roman" w:cs="Arial"/>
          <w:color w:val="000000"/>
          <w:szCs w:val="20"/>
          <w:lang w:val="de-DE" w:eastAsia="en-GB"/>
        </w:rPr>
        <w:t>President</w:t>
      </w:r>
      <w:proofErr w:type="spellEnd"/>
      <w:r w:rsidRPr="005A3274">
        <w:rPr>
          <w:rFonts w:eastAsia="Times New Roman" w:cs="Arial"/>
          <w:color w:val="000000"/>
          <w:szCs w:val="20"/>
          <w:lang w:val="de-DE" w:eastAsia="en-GB"/>
        </w:rPr>
        <w:t>, Everest Group. „Ein robustes Angebotsportfolio, das eine proprietäre Open-Banking-Plattform, eine</w:t>
      </w:r>
      <w:r>
        <w:rPr>
          <w:rFonts w:eastAsia="Times New Roman" w:cs="Arial"/>
          <w:color w:val="000000"/>
          <w:szCs w:val="20"/>
          <w:lang w:val="de-DE" w:eastAsia="en-GB"/>
        </w:rPr>
        <w:t xml:space="preserve"> gezielte Erweiterung von Consulting-Expertise 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und einen bedeutenden Markterfolg über einen breiten Kundenstamm hinweg umfasst, hat NTT DATA dazu verholfen, eine Position als </w:t>
      </w:r>
      <w:r>
        <w:rPr>
          <w:rFonts w:eastAsia="Times New Roman" w:cs="Arial"/>
          <w:color w:val="000000"/>
          <w:szCs w:val="20"/>
          <w:lang w:val="de-DE" w:eastAsia="en-GB"/>
        </w:rPr>
        <w:t>führender Anbieter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bei der PEAK-Matrix</w:t>
      </w:r>
      <w:r w:rsidRPr="005A3274">
        <w:rPr>
          <w:rFonts w:eastAsia="Times New Roman" w:cs="Arial"/>
          <w:color w:val="000000"/>
          <w:szCs w:val="20"/>
          <w:vertAlign w:val="superscript"/>
          <w:lang w:val="de-DE" w:eastAsia="en-GB"/>
        </w:rPr>
        <w:t>®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>-Bewertung von Open-Banking-IT-Dienstleistungen der Everest Group 2020 zu sichern."</w:t>
      </w:r>
    </w:p>
    <w:p w14:paraId="66510692" w14:textId="77777777" w:rsidR="007F393F" w:rsidRPr="005A3274" w:rsidRDefault="007F393F" w:rsidP="007F393F">
      <w:pPr>
        <w:spacing w:before="100" w:beforeAutospacing="1" w:after="100" w:afterAutospacing="1"/>
        <w:rPr>
          <w:rFonts w:eastAsia="Times New Roman" w:cs="Arial"/>
          <w:color w:val="000000"/>
          <w:szCs w:val="20"/>
          <w:lang w:val="de-DE" w:eastAsia="en-GB"/>
        </w:rPr>
      </w:pPr>
      <w:r w:rsidRPr="005A3274">
        <w:rPr>
          <w:rFonts w:eastAsia="Times New Roman" w:cs="Arial"/>
          <w:color w:val="000000"/>
          <w:szCs w:val="20"/>
          <w:lang w:val="de-DE" w:eastAsia="en-GB"/>
        </w:rPr>
        <w:lastRenderedPageBreak/>
        <w:t xml:space="preserve">Manuel Romero, Global Head </w:t>
      </w:r>
      <w:proofErr w:type="spellStart"/>
      <w:r w:rsidRPr="005A3274">
        <w:rPr>
          <w:rFonts w:eastAsia="Times New Roman" w:cs="Arial"/>
          <w:color w:val="000000"/>
          <w:szCs w:val="20"/>
          <w:lang w:val="de-DE" w:eastAsia="en-GB"/>
        </w:rPr>
        <w:t>of</w:t>
      </w:r>
      <w:proofErr w:type="spellEnd"/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NTT </w:t>
      </w:r>
      <w:proofErr w:type="spellStart"/>
      <w:r w:rsidRPr="005A3274">
        <w:rPr>
          <w:rFonts w:eastAsia="Times New Roman" w:cs="Arial"/>
          <w:color w:val="000000"/>
          <w:szCs w:val="20"/>
          <w:lang w:val="de-DE" w:eastAsia="en-GB"/>
        </w:rPr>
        <w:t>DATA's</w:t>
      </w:r>
      <w:proofErr w:type="spellEnd"/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Open Banking Practice, </w:t>
      </w:r>
      <w:r>
        <w:rPr>
          <w:rFonts w:eastAsia="Times New Roman" w:cs="Arial"/>
          <w:color w:val="000000"/>
          <w:szCs w:val="20"/>
          <w:lang w:val="de-DE" w:eastAsia="en-GB"/>
        </w:rPr>
        <w:t xml:space="preserve">fügt hinzu: „Open 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>Banking wird die Struktur des Bankwesens verändern, wenn</w:t>
      </w:r>
      <w:r>
        <w:rPr>
          <w:rFonts w:eastAsia="Times New Roman" w:cs="Arial"/>
          <w:color w:val="000000"/>
          <w:szCs w:val="20"/>
          <w:lang w:val="de-DE" w:eastAsia="en-GB"/>
        </w:rPr>
        <w:t xml:space="preserve"> 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durch offene Innovation und plattformbasierte </w:t>
      </w:r>
      <w:r>
        <w:rPr>
          <w:rFonts w:eastAsia="Times New Roman" w:cs="Arial"/>
          <w:color w:val="000000"/>
          <w:szCs w:val="20"/>
          <w:lang w:val="de-DE" w:eastAsia="en-GB"/>
        </w:rPr>
        <w:t>Betriebsmodelle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neue </w:t>
      </w:r>
      <w:r>
        <w:rPr>
          <w:rFonts w:eastAsia="Times New Roman" w:cs="Arial"/>
          <w:color w:val="000000"/>
          <w:szCs w:val="20"/>
          <w:lang w:val="de-DE" w:eastAsia="en-GB"/>
        </w:rPr>
        <w:t>Geschäftsmodelle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entstehen. NTT DATA </w:t>
      </w:r>
      <w:r>
        <w:rPr>
          <w:rFonts w:eastAsia="Times New Roman" w:cs="Arial"/>
          <w:color w:val="000000"/>
          <w:szCs w:val="20"/>
          <w:lang w:val="de-DE" w:eastAsia="en-GB"/>
        </w:rPr>
        <w:t>unterstützt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Kunden dabei</w:t>
      </w:r>
      <w:r>
        <w:rPr>
          <w:rFonts w:eastAsia="Times New Roman" w:cs="Arial"/>
          <w:color w:val="000000"/>
          <w:szCs w:val="20"/>
          <w:lang w:val="de-DE" w:eastAsia="en-GB"/>
        </w:rPr>
        <w:t xml:space="preserve">, 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>ihr aktuelles Kerngeschäft zu transformieren</w:t>
      </w:r>
      <w:r>
        <w:rPr>
          <w:rFonts w:eastAsia="Times New Roman" w:cs="Arial"/>
          <w:color w:val="000000"/>
          <w:szCs w:val="20"/>
          <w:lang w:val="de-DE" w:eastAsia="en-GB"/>
        </w:rPr>
        <w:t>,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die Markteinführung neuer digitaler Unternehmungen zu beschleunigen</w:t>
      </w:r>
      <w:r>
        <w:rPr>
          <w:rFonts w:eastAsia="Times New Roman" w:cs="Arial"/>
          <w:color w:val="000000"/>
          <w:szCs w:val="20"/>
          <w:lang w:val="de-DE" w:eastAsia="en-GB"/>
        </w:rPr>
        <w:t xml:space="preserve"> und dadurch wettbewerbsfähiger zu sein. 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Wir </w:t>
      </w:r>
      <w:r>
        <w:rPr>
          <w:rFonts w:eastAsia="Times New Roman" w:cs="Arial"/>
          <w:color w:val="000000"/>
          <w:szCs w:val="20"/>
          <w:lang w:val="de-DE" w:eastAsia="en-GB"/>
        </w:rPr>
        <w:t>stellen in der Zusammenarbeit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mit Banken, </w:t>
      </w:r>
      <w:proofErr w:type="spellStart"/>
      <w:r w:rsidRPr="005A3274">
        <w:rPr>
          <w:rFonts w:eastAsia="Times New Roman" w:cs="Arial"/>
          <w:color w:val="000000"/>
          <w:szCs w:val="20"/>
          <w:lang w:val="de-DE" w:eastAsia="en-GB"/>
        </w:rPr>
        <w:t>Fintechs</w:t>
      </w:r>
      <w:proofErr w:type="spellEnd"/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und anderen Finanzdienstleistern </w:t>
      </w:r>
      <w:r>
        <w:rPr>
          <w:rFonts w:eastAsia="Times New Roman" w:cs="Arial"/>
          <w:color w:val="000000"/>
          <w:szCs w:val="20"/>
          <w:lang w:val="de-DE" w:eastAsia="en-GB"/>
        </w:rPr>
        <w:t>sicher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, dass sie </w:t>
      </w:r>
      <w:r>
        <w:rPr>
          <w:rFonts w:eastAsia="Times New Roman" w:cs="Arial"/>
          <w:color w:val="000000"/>
          <w:szCs w:val="20"/>
          <w:lang w:val="de-DE" w:eastAsia="en-GB"/>
        </w:rPr>
        <w:t xml:space="preserve">grundsätzlich 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digital und offen sind, um mit neuen digitalen </w:t>
      </w:r>
      <w:r>
        <w:rPr>
          <w:rFonts w:eastAsia="Times New Roman" w:cs="Arial"/>
          <w:color w:val="000000"/>
          <w:szCs w:val="20"/>
          <w:lang w:val="de-DE" w:eastAsia="en-GB"/>
        </w:rPr>
        <w:t>Mitspielern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konkurrieren zu können.</w:t>
      </w:r>
      <w:r>
        <w:rPr>
          <w:rFonts w:eastAsia="Times New Roman" w:cs="Arial"/>
          <w:color w:val="000000"/>
          <w:szCs w:val="20"/>
          <w:lang w:val="de-DE" w:eastAsia="en-GB"/>
        </w:rPr>
        <w:t xml:space="preserve"> 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>Wir freuen uns, in der angesehenen und vertrauenswürdigen Open-Banking-IT-Services-Peak-Matrix 2020 der Everest Group diese Platzierung erhalten zu haben und freuen uns darauf, weiterhin innovativ zu sein und in Partnerschaft mit unseren Kunden Mehrwert zu liefern."</w:t>
      </w:r>
    </w:p>
    <w:p w14:paraId="4D760F77" w14:textId="77777777" w:rsidR="007F393F" w:rsidRPr="005A3274" w:rsidRDefault="007F393F" w:rsidP="007F393F">
      <w:pPr>
        <w:spacing w:before="100" w:beforeAutospacing="1" w:after="100" w:afterAutospacing="1"/>
        <w:rPr>
          <w:rFonts w:eastAsia="Times New Roman" w:cs="Arial"/>
          <w:color w:val="000000"/>
          <w:szCs w:val="20"/>
          <w:lang w:val="de-DE" w:eastAsia="en-GB"/>
        </w:rPr>
      </w:pP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Der Bericht zur Open-Banking-IT-Services-Peak-Matrix 2020 der Everest Group bewertete die 24 führenden Anbieter von Open-Banking-IT-Dienstleistungen in Bezug auf ihre Vision und </w:t>
      </w:r>
      <w:r>
        <w:rPr>
          <w:rFonts w:eastAsia="Times New Roman" w:cs="Arial"/>
          <w:color w:val="000000"/>
          <w:szCs w:val="20"/>
          <w:lang w:val="de-DE" w:eastAsia="en-GB"/>
        </w:rPr>
        <w:t>Fähigkeiten. Außerdem wurde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</w:t>
      </w:r>
      <w:r>
        <w:rPr>
          <w:rFonts w:eastAsia="Times New Roman" w:cs="Arial"/>
          <w:color w:val="000000"/>
          <w:szCs w:val="20"/>
          <w:lang w:val="de-DE" w:eastAsia="en-GB"/>
        </w:rPr>
        <w:t>der Erfolg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der einzelnen IT-Dienstleister </w:t>
      </w:r>
      <w:r>
        <w:rPr>
          <w:rFonts w:eastAsia="Times New Roman" w:cs="Arial"/>
          <w:color w:val="000000"/>
          <w:szCs w:val="20"/>
          <w:lang w:val="de-DE" w:eastAsia="en-GB"/>
        </w:rPr>
        <w:t>im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Markt </w:t>
      </w:r>
      <w:r>
        <w:rPr>
          <w:rFonts w:eastAsia="Times New Roman" w:cs="Arial"/>
          <w:color w:val="000000"/>
          <w:szCs w:val="20"/>
          <w:lang w:val="de-DE" w:eastAsia="en-GB"/>
        </w:rPr>
        <w:t>beurteilt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>.</w:t>
      </w:r>
      <w:r>
        <w:rPr>
          <w:rFonts w:eastAsia="Times New Roman" w:cs="Arial"/>
          <w:color w:val="000000"/>
          <w:szCs w:val="20"/>
          <w:lang w:val="de-DE" w:eastAsia="en-GB"/>
        </w:rPr>
        <w:t xml:space="preserve"> 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Jedes Anbieterprofil beinhaltet ein umfassendes Bild </w:t>
      </w:r>
      <w:r>
        <w:rPr>
          <w:rFonts w:eastAsia="Times New Roman" w:cs="Arial"/>
          <w:color w:val="000000"/>
          <w:szCs w:val="20"/>
          <w:lang w:val="de-DE" w:eastAsia="en-GB"/>
        </w:rPr>
        <w:t>der Angebotsschwerpunkte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 xml:space="preserve"> des Dienstleisters, wichtige Partnerschaften, </w:t>
      </w:r>
      <w:r>
        <w:rPr>
          <w:rFonts w:eastAsia="Times New Roman" w:cs="Arial"/>
          <w:color w:val="000000"/>
          <w:szCs w:val="20"/>
          <w:lang w:val="de-DE" w:eastAsia="en-GB"/>
        </w:rPr>
        <w:t>Fach</w:t>
      </w:r>
      <w:r w:rsidRPr="005A3274">
        <w:rPr>
          <w:rFonts w:eastAsia="Times New Roman" w:cs="Arial"/>
          <w:color w:val="000000"/>
          <w:szCs w:val="20"/>
          <w:lang w:val="de-DE" w:eastAsia="en-GB"/>
        </w:rPr>
        <w:t>investitionen und relevante Fallstudien. Die Bewertung basiert auf dem jährlichen RFI-Prozess der Everest Group für das Kalenderjahr 2019, Referenzprüfungen der Kunden und einer Analyse des Open-Banking-Marktes.</w:t>
      </w:r>
    </w:p>
    <w:p w14:paraId="453C2ECF" w14:textId="3053D646" w:rsidR="007F393F" w:rsidRDefault="007F393F" w:rsidP="007F393F">
      <w:pPr>
        <w:spacing w:before="100" w:beforeAutospacing="1" w:after="100" w:afterAutospacing="1"/>
        <w:rPr>
          <w:rFonts w:eastAsia="Times New Roman" w:cs="Arial"/>
          <w:b/>
          <w:bCs/>
          <w:color w:val="000000"/>
          <w:szCs w:val="20"/>
          <w:lang w:val="de-DE" w:eastAsia="en-GB"/>
        </w:rPr>
      </w:pPr>
      <w:r w:rsidRPr="005A3274">
        <w:rPr>
          <w:rFonts w:eastAsia="Times New Roman" w:cs="Arial"/>
          <w:b/>
          <w:bCs/>
          <w:color w:val="000000"/>
          <w:szCs w:val="20"/>
          <w:lang w:val="de-DE" w:eastAsia="en-GB"/>
        </w:rPr>
        <w:t>Sie können den Bericht hier herunterladen:</w:t>
      </w:r>
      <w:r>
        <w:rPr>
          <w:rFonts w:eastAsia="Times New Roman" w:cs="Arial"/>
          <w:b/>
          <w:bCs/>
          <w:color w:val="000000"/>
          <w:szCs w:val="20"/>
          <w:lang w:val="de-DE" w:eastAsia="en-GB"/>
        </w:rPr>
        <w:t xml:space="preserve"> </w:t>
      </w:r>
      <w:hyperlink r:id="rId8" w:history="1">
        <w:r w:rsidR="00A013E5" w:rsidRPr="00A013E5">
          <w:rPr>
            <w:rStyle w:val="Hyperlink"/>
            <w:lang w:val="de-DE"/>
          </w:rPr>
          <w:t>https://de.nttdata.com/-/media/NTTDataGermany/Files/2020-EN-Study-Everest-Group-PEAK-Matrix-for-Open-Banking-IT-Service-Providers-2020.pdf</w:t>
        </w:r>
      </w:hyperlink>
      <w:bookmarkStart w:id="0" w:name="_GoBack"/>
      <w:bookmarkEnd w:id="0"/>
    </w:p>
    <w:p w14:paraId="377E3728" w14:textId="033D1B59" w:rsidR="006860E3" w:rsidRDefault="007F393F" w:rsidP="007F393F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0"/>
          <w:szCs w:val="22"/>
          <w:lang w:val="de-DE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2"/>
          <w:lang w:val="de-DE" w:eastAsia="de-DE"/>
        </w:rPr>
        <w:drawing>
          <wp:inline distT="0" distB="0" distL="0" distR="0" wp14:anchorId="5A4EDA9B" wp14:editId="392E083A">
            <wp:extent cx="6025796" cy="363220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-05-NTT DATA-Everest-PEAK-2020-Open-Banking-IT-Servic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497" cy="363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C1F12" w14:textId="77777777" w:rsidR="007F393F" w:rsidRDefault="007F393F" w:rsidP="00873A50">
      <w:pPr>
        <w:pStyle w:val="StandardWeb"/>
        <w:ind w:right="-1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2"/>
          <w:lang w:val="de-DE" w:eastAsia="en-US"/>
        </w:rPr>
      </w:pPr>
    </w:p>
    <w:p w14:paraId="756A9D5B" w14:textId="35FE771B" w:rsidR="008A290A" w:rsidRPr="008A290A" w:rsidRDefault="008A290A" w:rsidP="00873A50">
      <w:pPr>
        <w:pStyle w:val="StandardWeb"/>
        <w:ind w:right="-1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2"/>
          <w:lang w:val="de-DE" w:eastAsia="en-US"/>
        </w:rPr>
      </w:pPr>
      <w:r w:rsidRPr="008A290A">
        <w:rPr>
          <w:rFonts w:ascii="Arial" w:eastAsiaTheme="minorHAnsi" w:hAnsi="Arial" w:cs="Arial"/>
          <w:b/>
          <w:bCs/>
          <w:color w:val="000000" w:themeColor="text1"/>
          <w:sz w:val="20"/>
          <w:szCs w:val="22"/>
          <w:lang w:val="de-DE" w:eastAsia="en-US"/>
        </w:rPr>
        <w:lastRenderedPageBreak/>
        <w:t>Über NTT DATA</w:t>
      </w:r>
    </w:p>
    <w:p w14:paraId="3F410AA3" w14:textId="03552B4B" w:rsidR="00A53BEE" w:rsidRPr="0082069F" w:rsidRDefault="00873A50" w:rsidP="00873A50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82069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ist ein führender Anbieter von Business- und IT-Lösungen und globaler Innovationspartner seiner Kunden. Der japanische Konzern mit Hauptsitz in Tokio ist in mehr als 50 Ländern weltweit vertreten. Der Schwerpunkt liegt auf langfristigen Kundenbeziehungen: Dazu kombiniert NTT DATA globale Präsenz mit lokaler Marktkenntnis und bietet erstklassige, professionelle Dienstleistungen von der Beratung und Systementwicklung bis hin zum Outsourcing. </w:t>
      </w:r>
      <w:r w:rsidR="00A53BEE" w:rsidRPr="0082069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Weitere Informationen finden Sie auf </w:t>
      </w:r>
      <w:hyperlink r:id="rId10" w:history="1">
        <w:r w:rsidR="00A53BEE" w:rsidRPr="0082069F"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de.nttdata.com</w:t>
        </w:r>
      </w:hyperlink>
      <w:r w:rsidR="00A53BEE" w:rsidRPr="004C404E">
        <w:rPr>
          <w:rStyle w:val="Hyperlink"/>
          <w:rFonts w:ascii="Arial" w:eastAsiaTheme="minorHAnsi" w:hAnsi="Arial" w:cs="Arial"/>
          <w:color w:val="auto"/>
          <w:sz w:val="20"/>
          <w:szCs w:val="22"/>
          <w:u w:val="none"/>
          <w:lang w:val="de-DE" w:eastAsia="en-US"/>
        </w:rPr>
        <w:t>.</w:t>
      </w:r>
    </w:p>
    <w:p w14:paraId="3D41F0FF" w14:textId="77777777" w:rsidR="00A53BEE" w:rsidRPr="0082069F" w:rsidRDefault="00A53BEE" w:rsidP="00A53BEE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  <w:r w:rsidRPr="0082069F">
        <w:rPr>
          <w:rFonts w:cs="Arial"/>
          <w:b/>
          <w:color w:val="000000" w:themeColor="text1"/>
          <w:lang w:val="de-DE"/>
        </w:rPr>
        <w:t>Pressekontakt:</w:t>
      </w:r>
    </w:p>
    <w:p w14:paraId="25C7420D" w14:textId="77777777" w:rsidR="00A53BEE" w:rsidRPr="0082069F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82069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14:paraId="683DB746" w14:textId="77777777" w:rsidR="00A53BEE" w:rsidRPr="00890FBD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890FBD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Katja Friedrich</w:t>
      </w:r>
    </w:p>
    <w:p w14:paraId="22ACEE5E" w14:textId="77777777" w:rsidR="00A53BEE" w:rsidRPr="00890FBD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890FBD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VP, Head of Communications</w:t>
      </w:r>
    </w:p>
    <w:p w14:paraId="5F41623D" w14:textId="77777777" w:rsidR="00A53BEE" w:rsidRPr="0082069F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82069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Tel.: +49 7243 570-1349</w:t>
      </w:r>
    </w:p>
    <w:p w14:paraId="6A62B30C" w14:textId="77777777" w:rsidR="00A53BEE" w:rsidRPr="0082069F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82069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E-Mail: Katja.Friedrich@nttdata.com</w:t>
      </w:r>
    </w:p>
    <w:sectPr w:rsidR="00A53BEE" w:rsidRPr="0082069F">
      <w:headerReference w:type="default" r:id="rId11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84DC4" w14:textId="77777777" w:rsidR="00102FA6" w:rsidRDefault="00102FA6">
      <w:pPr>
        <w:spacing w:before="0" w:after="0"/>
      </w:pPr>
      <w:r>
        <w:separator/>
      </w:r>
    </w:p>
  </w:endnote>
  <w:endnote w:type="continuationSeparator" w:id="0">
    <w:p w14:paraId="783D53D8" w14:textId="77777777" w:rsidR="00102FA6" w:rsidRDefault="00102F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46290" w14:textId="77777777" w:rsidR="00102FA6" w:rsidRDefault="00102FA6">
      <w:pPr>
        <w:spacing w:before="0" w:after="0"/>
      </w:pPr>
      <w:r>
        <w:separator/>
      </w:r>
    </w:p>
  </w:footnote>
  <w:footnote w:type="continuationSeparator" w:id="0">
    <w:p w14:paraId="1F349B27" w14:textId="77777777" w:rsidR="00102FA6" w:rsidRDefault="00102F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3480" w14:textId="77777777" w:rsidR="00D82B4D" w:rsidRDefault="00A53BEE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612DA740" wp14:editId="2F763F9B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72F2BA" wp14:editId="62D6A61B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D4D40" w14:textId="277B3771" w:rsidR="00D82B4D" w:rsidRDefault="00681466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News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2F2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8a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" filled="f" stroked="f">
              <v:textbox>
                <w:txbxContent>
                  <w:p w14:paraId="45AD4D40" w14:textId="277B3771" w:rsidR="00D82B4D" w:rsidRDefault="00681466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5FAF4029" wp14:editId="613D4361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EBBF4" wp14:editId="158D3FB5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D1C1D7" wp14:editId="18065310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286"/>
    <w:multiLevelType w:val="multilevel"/>
    <w:tmpl w:val="07F2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145"/>
    <w:multiLevelType w:val="hybridMultilevel"/>
    <w:tmpl w:val="DBC6D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30365336"/>
    <w:multiLevelType w:val="hybridMultilevel"/>
    <w:tmpl w:val="1556F126"/>
    <w:lvl w:ilvl="0" w:tplc="0407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0" w15:restartNumberingAfterBreak="0">
    <w:nsid w:val="51417255"/>
    <w:multiLevelType w:val="hybridMultilevel"/>
    <w:tmpl w:val="CED42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7BAB19F4"/>
    <w:multiLevelType w:val="multilevel"/>
    <w:tmpl w:val="A6D4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6"/>
  </w:num>
  <w:num w:numId="5">
    <w:abstractNumId w:val="14"/>
  </w:num>
  <w:num w:numId="6">
    <w:abstractNumId w:val="9"/>
  </w:num>
  <w:num w:numId="7">
    <w:abstractNumId w:val="15"/>
  </w:num>
  <w:num w:numId="8">
    <w:abstractNumId w:val="5"/>
  </w:num>
  <w:num w:numId="9">
    <w:abstractNumId w:val="7"/>
  </w:num>
  <w:num w:numId="10">
    <w:abstractNumId w:val="17"/>
  </w:num>
  <w:num w:numId="11">
    <w:abstractNumId w:val="11"/>
  </w:num>
  <w:num w:numId="12">
    <w:abstractNumId w:val="8"/>
  </w:num>
  <w:num w:numId="13">
    <w:abstractNumId w:val="12"/>
  </w:num>
  <w:num w:numId="14">
    <w:abstractNumId w:val="10"/>
  </w:num>
  <w:num w:numId="15">
    <w:abstractNumId w:val="1"/>
  </w:num>
  <w:num w:numId="16">
    <w:abstractNumId w:val="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D"/>
    <w:rsid w:val="0001562B"/>
    <w:rsid w:val="00017B71"/>
    <w:rsid w:val="00037638"/>
    <w:rsid w:val="000457F3"/>
    <w:rsid w:val="000568DF"/>
    <w:rsid w:val="000966DE"/>
    <w:rsid w:val="000B0EFE"/>
    <w:rsid w:val="000C41F8"/>
    <w:rsid w:val="000C6A8E"/>
    <w:rsid w:val="000D4EC7"/>
    <w:rsid w:val="000E65E0"/>
    <w:rsid w:val="00102FA6"/>
    <w:rsid w:val="001403B1"/>
    <w:rsid w:val="00145B41"/>
    <w:rsid w:val="00182E62"/>
    <w:rsid w:val="00192E26"/>
    <w:rsid w:val="001B72CD"/>
    <w:rsid w:val="001B7400"/>
    <w:rsid w:val="001C0959"/>
    <w:rsid w:val="001E08B8"/>
    <w:rsid w:val="00201F27"/>
    <w:rsid w:val="00202627"/>
    <w:rsid w:val="00225E17"/>
    <w:rsid w:val="00283EAA"/>
    <w:rsid w:val="002A215D"/>
    <w:rsid w:val="002B5EE9"/>
    <w:rsid w:val="002C2C0D"/>
    <w:rsid w:val="002C4217"/>
    <w:rsid w:val="002D4C61"/>
    <w:rsid w:val="003369B5"/>
    <w:rsid w:val="00354715"/>
    <w:rsid w:val="00355F14"/>
    <w:rsid w:val="00384DAA"/>
    <w:rsid w:val="003A2A07"/>
    <w:rsid w:val="003A2ECB"/>
    <w:rsid w:val="003A5C5A"/>
    <w:rsid w:val="003C3A73"/>
    <w:rsid w:val="003D4A48"/>
    <w:rsid w:val="003F6B9A"/>
    <w:rsid w:val="004010DC"/>
    <w:rsid w:val="00403821"/>
    <w:rsid w:val="0041613F"/>
    <w:rsid w:val="00426329"/>
    <w:rsid w:val="00441890"/>
    <w:rsid w:val="004470BD"/>
    <w:rsid w:val="004569EA"/>
    <w:rsid w:val="0045722C"/>
    <w:rsid w:val="00460492"/>
    <w:rsid w:val="00475D8D"/>
    <w:rsid w:val="004927CC"/>
    <w:rsid w:val="004C404E"/>
    <w:rsid w:val="004D5FA2"/>
    <w:rsid w:val="004F72A0"/>
    <w:rsid w:val="00501410"/>
    <w:rsid w:val="005054E3"/>
    <w:rsid w:val="005821A8"/>
    <w:rsid w:val="005B2545"/>
    <w:rsid w:val="005B7499"/>
    <w:rsid w:val="005D7AAF"/>
    <w:rsid w:val="005E1A65"/>
    <w:rsid w:val="005F00DD"/>
    <w:rsid w:val="005F3C67"/>
    <w:rsid w:val="005F5EDB"/>
    <w:rsid w:val="00672423"/>
    <w:rsid w:val="00681466"/>
    <w:rsid w:val="006860E3"/>
    <w:rsid w:val="006B72DF"/>
    <w:rsid w:val="006C2982"/>
    <w:rsid w:val="006C3817"/>
    <w:rsid w:val="006E2CF6"/>
    <w:rsid w:val="006E651E"/>
    <w:rsid w:val="00704633"/>
    <w:rsid w:val="00704D9F"/>
    <w:rsid w:val="00737860"/>
    <w:rsid w:val="00747813"/>
    <w:rsid w:val="00760957"/>
    <w:rsid w:val="00761A66"/>
    <w:rsid w:val="00763F5C"/>
    <w:rsid w:val="0077210A"/>
    <w:rsid w:val="007817B4"/>
    <w:rsid w:val="007B2F15"/>
    <w:rsid w:val="007B71CE"/>
    <w:rsid w:val="007E39A8"/>
    <w:rsid w:val="007F393F"/>
    <w:rsid w:val="00807465"/>
    <w:rsid w:val="00814213"/>
    <w:rsid w:val="0082069F"/>
    <w:rsid w:val="00826E29"/>
    <w:rsid w:val="00831CF9"/>
    <w:rsid w:val="008528CB"/>
    <w:rsid w:val="00865560"/>
    <w:rsid w:val="00873A50"/>
    <w:rsid w:val="008758DD"/>
    <w:rsid w:val="00880802"/>
    <w:rsid w:val="00881443"/>
    <w:rsid w:val="00890FBD"/>
    <w:rsid w:val="008A0094"/>
    <w:rsid w:val="008A0875"/>
    <w:rsid w:val="008A290A"/>
    <w:rsid w:val="008A5731"/>
    <w:rsid w:val="008B7FC5"/>
    <w:rsid w:val="008D2BD2"/>
    <w:rsid w:val="008E1E58"/>
    <w:rsid w:val="008E3B08"/>
    <w:rsid w:val="00902198"/>
    <w:rsid w:val="00905A9A"/>
    <w:rsid w:val="009079B1"/>
    <w:rsid w:val="009253C1"/>
    <w:rsid w:val="009325DC"/>
    <w:rsid w:val="00946340"/>
    <w:rsid w:val="009742F4"/>
    <w:rsid w:val="00975B3E"/>
    <w:rsid w:val="009B3843"/>
    <w:rsid w:val="009B74E3"/>
    <w:rsid w:val="009C71EF"/>
    <w:rsid w:val="009D21FF"/>
    <w:rsid w:val="00A013E5"/>
    <w:rsid w:val="00A054A2"/>
    <w:rsid w:val="00A101F7"/>
    <w:rsid w:val="00A16A99"/>
    <w:rsid w:val="00A51516"/>
    <w:rsid w:val="00A53BEE"/>
    <w:rsid w:val="00A628F7"/>
    <w:rsid w:val="00A72A81"/>
    <w:rsid w:val="00A75628"/>
    <w:rsid w:val="00A8742E"/>
    <w:rsid w:val="00AB1399"/>
    <w:rsid w:val="00AC182A"/>
    <w:rsid w:val="00AD44BF"/>
    <w:rsid w:val="00AD651A"/>
    <w:rsid w:val="00AE5838"/>
    <w:rsid w:val="00AF442D"/>
    <w:rsid w:val="00AF5179"/>
    <w:rsid w:val="00B01623"/>
    <w:rsid w:val="00B269D3"/>
    <w:rsid w:val="00B5162B"/>
    <w:rsid w:val="00B606EC"/>
    <w:rsid w:val="00BB0F8A"/>
    <w:rsid w:val="00BB4F26"/>
    <w:rsid w:val="00BC7470"/>
    <w:rsid w:val="00BE428E"/>
    <w:rsid w:val="00BE4645"/>
    <w:rsid w:val="00BF112D"/>
    <w:rsid w:val="00C01345"/>
    <w:rsid w:val="00C05E80"/>
    <w:rsid w:val="00C1023B"/>
    <w:rsid w:val="00C158D6"/>
    <w:rsid w:val="00C16C00"/>
    <w:rsid w:val="00C44208"/>
    <w:rsid w:val="00C56552"/>
    <w:rsid w:val="00C565EA"/>
    <w:rsid w:val="00C6469B"/>
    <w:rsid w:val="00C66A60"/>
    <w:rsid w:val="00C7721C"/>
    <w:rsid w:val="00C80AAA"/>
    <w:rsid w:val="00CA2668"/>
    <w:rsid w:val="00CB2728"/>
    <w:rsid w:val="00CB68BF"/>
    <w:rsid w:val="00CB72F6"/>
    <w:rsid w:val="00CE2E35"/>
    <w:rsid w:val="00D10A9B"/>
    <w:rsid w:val="00D27B4B"/>
    <w:rsid w:val="00D45CE6"/>
    <w:rsid w:val="00D56AB5"/>
    <w:rsid w:val="00D70359"/>
    <w:rsid w:val="00D70FD5"/>
    <w:rsid w:val="00D73BE5"/>
    <w:rsid w:val="00D753C4"/>
    <w:rsid w:val="00D82B4D"/>
    <w:rsid w:val="00DA4400"/>
    <w:rsid w:val="00DD7663"/>
    <w:rsid w:val="00DF4C95"/>
    <w:rsid w:val="00E15A14"/>
    <w:rsid w:val="00E17CA7"/>
    <w:rsid w:val="00E25A1D"/>
    <w:rsid w:val="00E46864"/>
    <w:rsid w:val="00E82042"/>
    <w:rsid w:val="00E83C41"/>
    <w:rsid w:val="00E92285"/>
    <w:rsid w:val="00E93ADD"/>
    <w:rsid w:val="00EE15C8"/>
    <w:rsid w:val="00F25AFE"/>
    <w:rsid w:val="00F43C5E"/>
    <w:rsid w:val="00F550F6"/>
    <w:rsid w:val="00F73DAF"/>
    <w:rsid w:val="00F77E45"/>
    <w:rsid w:val="00F81EE1"/>
    <w:rsid w:val="00F842DE"/>
    <w:rsid w:val="00F9165D"/>
    <w:rsid w:val="00F96DDA"/>
    <w:rsid w:val="00F97A05"/>
    <w:rsid w:val="00FA4D32"/>
    <w:rsid w:val="00FA641C"/>
    <w:rsid w:val="00FC5C6F"/>
    <w:rsid w:val="00FD1ED8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51BF3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63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nttdata.com/-/media/NTTDataGermany/Files/2020-EN-Study-Everest-Group-PEAK-Matrix-for-Open-Banking-IT-Service-Providers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e.nttdat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7BF3-3F3E-4FC9-89B0-2DFFE032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Thompson, Tashima</cp:lastModifiedBy>
  <cp:revision>2</cp:revision>
  <cp:lastPrinted>2020-01-27T15:21:00Z</cp:lastPrinted>
  <dcterms:created xsi:type="dcterms:W3CDTF">2020-06-01T20:24:00Z</dcterms:created>
  <dcterms:modified xsi:type="dcterms:W3CDTF">2020-06-01T20:24:00Z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