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D6B4" w14:textId="15220579" w:rsidR="00E7599E" w:rsidRPr="000F0622" w:rsidRDefault="00E7599E">
      <w:pPr>
        <w:pStyle w:val="Default"/>
        <w:jc w:val="both"/>
        <w:rPr>
          <w:rFonts w:ascii="Arial" w:hAnsi="Arial" w:cs="Arial"/>
          <w:bCs/>
          <w:sz w:val="20"/>
          <w:szCs w:val="20"/>
          <w:lang w:val="de-DE"/>
        </w:rPr>
      </w:pPr>
      <w:bookmarkStart w:id="0" w:name="_GoBack"/>
      <w:bookmarkEnd w:id="0"/>
      <w:r w:rsidRPr="000F0622">
        <w:rPr>
          <w:rFonts w:ascii="Arial" w:hAnsi="Arial" w:cs="Arial"/>
          <w:bCs/>
          <w:sz w:val="20"/>
          <w:szCs w:val="20"/>
          <w:lang w:val="de-DE"/>
        </w:rPr>
        <w:t>IDC FinTech</w:t>
      </w:r>
      <w:r w:rsidR="00F22096" w:rsidRPr="000F0622">
        <w:rPr>
          <w:rFonts w:ascii="Arial" w:hAnsi="Arial" w:cs="Arial"/>
          <w:bCs/>
          <w:sz w:val="20"/>
          <w:szCs w:val="20"/>
          <w:lang w:val="de-DE"/>
        </w:rPr>
        <w:t>-</w:t>
      </w:r>
      <w:r w:rsidRPr="000F0622">
        <w:rPr>
          <w:rFonts w:ascii="Arial" w:hAnsi="Arial" w:cs="Arial"/>
          <w:bCs/>
          <w:sz w:val="20"/>
          <w:szCs w:val="20"/>
          <w:lang w:val="de-DE"/>
        </w:rPr>
        <w:t xml:space="preserve">Ranking 2020: IT-Anbieter qualifizieren sich </w:t>
      </w:r>
      <w:r w:rsidR="00283967" w:rsidRPr="000F0622">
        <w:rPr>
          <w:rFonts w:ascii="Arial" w:hAnsi="Arial" w:cs="Arial"/>
          <w:bCs/>
          <w:sz w:val="20"/>
          <w:szCs w:val="20"/>
          <w:lang w:val="de-DE"/>
        </w:rPr>
        <w:t>aufgrund</w:t>
      </w:r>
      <w:r w:rsidRPr="000F0622">
        <w:rPr>
          <w:rFonts w:ascii="Arial" w:hAnsi="Arial" w:cs="Arial"/>
          <w:bCs/>
          <w:sz w:val="20"/>
          <w:szCs w:val="20"/>
          <w:lang w:val="de-DE"/>
        </w:rPr>
        <w:t xml:space="preserve"> ihrer </w:t>
      </w:r>
      <w:r w:rsidR="00D17830">
        <w:rPr>
          <w:rFonts w:ascii="Arial" w:hAnsi="Arial" w:cs="Arial"/>
          <w:bCs/>
          <w:sz w:val="20"/>
          <w:szCs w:val="20"/>
          <w:lang w:val="de-DE"/>
        </w:rPr>
        <w:t>Umsätze</w:t>
      </w:r>
      <w:r w:rsidRPr="000F0622">
        <w:rPr>
          <w:rFonts w:ascii="Arial" w:hAnsi="Arial" w:cs="Arial"/>
          <w:bCs/>
          <w:sz w:val="20"/>
          <w:szCs w:val="20"/>
          <w:lang w:val="de-DE"/>
        </w:rPr>
        <w:t xml:space="preserve"> im Finanzdienstleistungssektor</w:t>
      </w:r>
    </w:p>
    <w:p w14:paraId="0FE4D7D6" w14:textId="77777777" w:rsidR="000F0622" w:rsidRDefault="000F0622">
      <w:pPr>
        <w:pStyle w:val="Default"/>
        <w:jc w:val="both"/>
        <w:rPr>
          <w:rFonts w:ascii="Arial" w:hAnsi="Arial" w:cs="Arial"/>
          <w:b/>
          <w:lang w:val="de-DE"/>
        </w:rPr>
      </w:pPr>
    </w:p>
    <w:p w14:paraId="5A8C752B" w14:textId="14475717" w:rsidR="00182E62" w:rsidRPr="000F0622" w:rsidRDefault="007F393F">
      <w:pPr>
        <w:pStyle w:val="Default"/>
        <w:jc w:val="both"/>
        <w:rPr>
          <w:rFonts w:ascii="Arial" w:hAnsi="Arial" w:cs="Arial"/>
          <w:b/>
          <w:lang w:val="de-DE"/>
        </w:rPr>
      </w:pPr>
      <w:r w:rsidRPr="000F0622">
        <w:rPr>
          <w:rFonts w:ascii="Arial" w:hAnsi="Arial" w:cs="Arial"/>
          <w:b/>
          <w:lang w:val="de-DE"/>
        </w:rPr>
        <w:t xml:space="preserve">NTT DATA </w:t>
      </w:r>
      <w:r w:rsidR="00E7599E" w:rsidRPr="000F0622">
        <w:rPr>
          <w:rFonts w:ascii="Arial" w:hAnsi="Arial" w:cs="Arial"/>
          <w:b/>
          <w:lang w:val="de-DE"/>
        </w:rPr>
        <w:t>auf Platz 3 im IDC FinTech</w:t>
      </w:r>
      <w:r w:rsidR="00F22096" w:rsidRPr="000F0622">
        <w:rPr>
          <w:rFonts w:ascii="Arial" w:hAnsi="Arial" w:cs="Arial"/>
          <w:b/>
          <w:lang w:val="de-DE"/>
        </w:rPr>
        <w:t>-</w:t>
      </w:r>
      <w:r w:rsidR="00E7599E" w:rsidRPr="000F0622">
        <w:rPr>
          <w:rFonts w:ascii="Arial" w:hAnsi="Arial" w:cs="Arial"/>
          <w:b/>
          <w:lang w:val="de-DE"/>
        </w:rPr>
        <w:t>Ranking</w:t>
      </w:r>
    </w:p>
    <w:p w14:paraId="4F4A0C55" w14:textId="77777777" w:rsidR="007F393F" w:rsidRPr="000F0622" w:rsidRDefault="007F393F">
      <w:pPr>
        <w:pStyle w:val="Default"/>
        <w:jc w:val="both"/>
        <w:rPr>
          <w:rFonts w:ascii="Arial" w:hAnsi="Arial" w:cs="Arial"/>
          <w:b/>
          <w:sz w:val="20"/>
          <w:lang w:val="de-DE"/>
        </w:rPr>
      </w:pPr>
    </w:p>
    <w:p w14:paraId="7E2C1F12" w14:textId="6D9E2822" w:rsidR="007F393F" w:rsidRPr="000F0622" w:rsidRDefault="00A53BEE" w:rsidP="00323668">
      <w:pPr>
        <w:pStyle w:val="Default"/>
        <w:jc w:val="both"/>
        <w:rPr>
          <w:rFonts w:ascii="Arial" w:hAnsi="Arial" w:cs="Arial"/>
          <w:sz w:val="20"/>
          <w:lang w:val="de-DE"/>
        </w:rPr>
      </w:pPr>
      <w:r w:rsidRPr="000F0622">
        <w:rPr>
          <w:rFonts w:ascii="Arial" w:hAnsi="Arial" w:cs="Arial"/>
          <w:b/>
          <w:sz w:val="20"/>
          <w:lang w:val="de-DE"/>
        </w:rPr>
        <w:t>München</w:t>
      </w:r>
      <w:r w:rsidR="00F550F6" w:rsidRPr="000F0622">
        <w:rPr>
          <w:rFonts w:ascii="Arial" w:hAnsi="Arial" w:cs="Arial"/>
          <w:b/>
          <w:sz w:val="20"/>
          <w:lang w:val="de-DE"/>
        </w:rPr>
        <w:t>,</w:t>
      </w:r>
      <w:r w:rsidR="00182E62" w:rsidRPr="000F0622">
        <w:rPr>
          <w:rFonts w:ascii="Arial" w:hAnsi="Arial" w:cs="Arial"/>
          <w:b/>
          <w:sz w:val="20"/>
          <w:lang w:val="de-DE"/>
        </w:rPr>
        <w:t xml:space="preserve"> </w:t>
      </w:r>
      <w:r w:rsidR="00D81AB4">
        <w:rPr>
          <w:rFonts w:ascii="Arial" w:hAnsi="Arial" w:cs="Arial"/>
          <w:b/>
          <w:sz w:val="20"/>
          <w:lang w:val="de-DE"/>
        </w:rPr>
        <w:t>23</w:t>
      </w:r>
      <w:r w:rsidR="00283967" w:rsidRPr="000F0622">
        <w:rPr>
          <w:rFonts w:ascii="Arial" w:hAnsi="Arial" w:cs="Arial"/>
          <w:b/>
          <w:sz w:val="20"/>
          <w:lang w:val="de-DE"/>
        </w:rPr>
        <w:t xml:space="preserve">. Oktober </w:t>
      </w:r>
      <w:r w:rsidRPr="000F0622">
        <w:rPr>
          <w:rFonts w:ascii="Arial" w:hAnsi="Arial" w:cs="Arial"/>
          <w:b/>
          <w:sz w:val="20"/>
          <w:lang w:val="de-DE"/>
        </w:rPr>
        <w:t>20</w:t>
      </w:r>
      <w:r w:rsidR="00F550F6" w:rsidRPr="000F0622">
        <w:rPr>
          <w:rFonts w:ascii="Arial" w:hAnsi="Arial" w:cs="Arial"/>
          <w:b/>
          <w:sz w:val="20"/>
          <w:lang w:val="de-DE"/>
        </w:rPr>
        <w:t>20</w:t>
      </w:r>
      <w:r w:rsidRPr="000F0622">
        <w:rPr>
          <w:rFonts w:ascii="Arial" w:hAnsi="Arial" w:cs="Arial"/>
          <w:sz w:val="20"/>
          <w:lang w:val="de-DE"/>
        </w:rPr>
        <w:t xml:space="preserve"> –</w:t>
      </w:r>
      <w:r w:rsidR="007F393F" w:rsidRPr="000F0622">
        <w:rPr>
          <w:rFonts w:ascii="Arial" w:hAnsi="Arial" w:cs="Arial"/>
          <w:sz w:val="20"/>
          <w:lang w:val="de-DE"/>
        </w:rPr>
        <w:t xml:space="preserve"> </w:t>
      </w:r>
      <w:r w:rsidR="00323668" w:rsidRPr="000F0622">
        <w:rPr>
          <w:rFonts w:ascii="Arial" w:hAnsi="Arial" w:cs="Arial"/>
          <w:sz w:val="20"/>
          <w:lang w:val="de-DE"/>
        </w:rPr>
        <w:t xml:space="preserve">NTT DATA, führender Anbieter von Business- und IT-Lösungen, belegt den dritten Platz im </w:t>
      </w:r>
      <w:hyperlink r:id="rId8" w:history="1">
        <w:r w:rsidR="00323668" w:rsidRPr="00C86523">
          <w:rPr>
            <w:rStyle w:val="Hyperlink"/>
            <w:rFonts w:ascii="Arial" w:hAnsi="Arial" w:cs="Arial"/>
            <w:sz w:val="20"/>
            <w:lang w:val="de-DE"/>
          </w:rPr>
          <w:t>IDC</w:t>
        </w:r>
        <w:r w:rsidR="009E0112" w:rsidRPr="00C86523">
          <w:rPr>
            <w:rStyle w:val="Hyperlink"/>
            <w:rFonts w:ascii="Arial" w:hAnsi="Arial" w:cs="Arial"/>
            <w:sz w:val="20"/>
            <w:lang w:val="de-DE"/>
          </w:rPr>
          <w:t xml:space="preserve"> (</w:t>
        </w:r>
        <w:r w:rsidR="009E0112" w:rsidRPr="00C86523">
          <w:rPr>
            <w:rStyle w:val="Hyperlink"/>
            <w:rFonts w:ascii="Arial" w:hAnsi="Arial" w:cs="Arial"/>
            <w:sz w:val="20"/>
            <w:szCs w:val="22"/>
            <w:lang w:val="de-DE"/>
          </w:rPr>
          <w:t>International Data Corporation)</w:t>
        </w:r>
        <w:r w:rsidR="00323668" w:rsidRPr="00C86523">
          <w:rPr>
            <w:rStyle w:val="Hyperlink"/>
            <w:rFonts w:ascii="Arial" w:hAnsi="Arial" w:cs="Arial"/>
            <w:sz w:val="20"/>
            <w:lang w:val="de-DE"/>
          </w:rPr>
          <w:t xml:space="preserve"> FinTech</w:t>
        </w:r>
        <w:r w:rsidR="009E0112" w:rsidRPr="00C86523">
          <w:rPr>
            <w:rStyle w:val="Hyperlink"/>
            <w:rFonts w:ascii="Arial" w:hAnsi="Arial" w:cs="Arial"/>
            <w:sz w:val="20"/>
            <w:lang w:val="de-DE"/>
          </w:rPr>
          <w:t>-</w:t>
        </w:r>
        <w:r w:rsidR="00323668" w:rsidRPr="00C86523">
          <w:rPr>
            <w:rStyle w:val="Hyperlink"/>
            <w:rFonts w:ascii="Arial" w:hAnsi="Arial" w:cs="Arial"/>
            <w:sz w:val="20"/>
            <w:lang w:val="de-DE"/>
          </w:rPr>
          <w:t>Ranking</w:t>
        </w:r>
        <w:r w:rsidR="009E0112" w:rsidRPr="00C86523">
          <w:rPr>
            <w:rStyle w:val="Hyperlink"/>
            <w:rFonts w:ascii="Arial" w:hAnsi="Arial" w:cs="Arial"/>
            <w:sz w:val="20"/>
            <w:lang w:val="de-DE"/>
          </w:rPr>
          <w:t xml:space="preserve">: </w:t>
        </w:r>
        <w:r w:rsidR="00323668" w:rsidRPr="00C86523">
          <w:rPr>
            <w:rStyle w:val="Hyperlink"/>
            <w:rFonts w:ascii="Arial" w:hAnsi="Arial" w:cs="Arial"/>
            <w:sz w:val="20"/>
            <w:lang w:val="de-DE"/>
          </w:rPr>
          <w:t>Top 100</w:t>
        </w:r>
      </w:hyperlink>
      <w:r w:rsidR="00323668" w:rsidRPr="000F0622">
        <w:rPr>
          <w:rFonts w:ascii="Arial" w:hAnsi="Arial" w:cs="Arial"/>
          <w:sz w:val="20"/>
          <w:lang w:val="de-DE"/>
        </w:rPr>
        <w:t xml:space="preserve">. </w:t>
      </w:r>
      <w:r w:rsidR="00031412" w:rsidRPr="000F0622">
        <w:rPr>
          <w:rFonts w:ascii="Arial" w:hAnsi="Arial" w:cs="Arial"/>
          <w:sz w:val="20"/>
          <w:lang w:val="de-DE"/>
        </w:rPr>
        <w:t>Die Spitzenposition verdeutlicht das anhaltende Wachstum von NTT DATA in allen Branchen und die Stärke des Unternehmens in den Bereichen Finanzdienstleistungen, Versicherungen, Zahlungsverkehr und Kapitalmärkte.</w:t>
      </w:r>
    </w:p>
    <w:p w14:paraId="47472957" w14:textId="1009BAF6" w:rsidR="00031412" w:rsidRPr="000F0622" w:rsidRDefault="00031412" w:rsidP="00323668">
      <w:pPr>
        <w:pStyle w:val="Default"/>
        <w:jc w:val="both"/>
        <w:rPr>
          <w:rFonts w:ascii="Arial" w:hAnsi="Arial" w:cs="Arial"/>
          <w:sz w:val="20"/>
          <w:lang w:val="de-DE"/>
        </w:rPr>
      </w:pPr>
    </w:p>
    <w:p w14:paraId="6056265D" w14:textId="3326BDE5" w:rsidR="00031412" w:rsidRPr="000F0622" w:rsidRDefault="00031412" w:rsidP="00323668">
      <w:pPr>
        <w:pStyle w:val="Default"/>
        <w:jc w:val="both"/>
        <w:rPr>
          <w:rFonts w:ascii="Arial" w:hAnsi="Arial" w:cs="Arial"/>
          <w:sz w:val="20"/>
          <w:lang w:val="de-DE"/>
        </w:rPr>
      </w:pPr>
      <w:r w:rsidRPr="000F0622">
        <w:rPr>
          <w:rFonts w:ascii="Arial" w:hAnsi="Arial" w:cs="Arial"/>
          <w:sz w:val="20"/>
          <w:lang w:val="de-DE"/>
        </w:rPr>
        <w:t xml:space="preserve">Das 17. </w:t>
      </w:r>
      <w:r w:rsidR="00731B4F" w:rsidRPr="000F0622">
        <w:rPr>
          <w:rFonts w:ascii="Arial" w:hAnsi="Arial" w:cs="Arial"/>
          <w:sz w:val="20"/>
          <w:lang w:val="de-DE"/>
        </w:rPr>
        <w:t>j</w:t>
      </w:r>
      <w:r w:rsidRPr="000F0622">
        <w:rPr>
          <w:rFonts w:ascii="Arial" w:hAnsi="Arial" w:cs="Arial"/>
          <w:sz w:val="20"/>
          <w:lang w:val="de-DE"/>
        </w:rPr>
        <w:t xml:space="preserve">ährliche </w:t>
      </w:r>
      <w:r w:rsidR="00731B4F" w:rsidRPr="000F0622">
        <w:rPr>
          <w:rFonts w:ascii="Arial" w:hAnsi="Arial" w:cs="Arial"/>
          <w:sz w:val="20"/>
          <w:lang w:val="de-DE"/>
        </w:rPr>
        <w:t xml:space="preserve">FinTech-Ranking berücksichtigt die besten Hardware-, Software- und Dienstleistungsanbieter der Finanzdienstleistungsbranche weltweit. Anbieter, die mindestens ein Drittel ihres Umsatzes im Finanzsektor erzielen, werden auf Grundlage des </w:t>
      </w:r>
      <w:r w:rsidR="00D17830">
        <w:rPr>
          <w:rFonts w:ascii="Arial" w:hAnsi="Arial" w:cs="Arial"/>
          <w:sz w:val="20"/>
          <w:lang w:val="de-DE"/>
        </w:rPr>
        <w:t>Umsatzes</w:t>
      </w:r>
      <w:r w:rsidR="000F0622">
        <w:rPr>
          <w:rFonts w:ascii="Arial" w:hAnsi="Arial" w:cs="Arial"/>
          <w:sz w:val="20"/>
          <w:lang w:val="de-DE"/>
        </w:rPr>
        <w:t xml:space="preserve"> bewertet</w:t>
      </w:r>
      <w:r w:rsidR="00731B4F" w:rsidRPr="000F0622">
        <w:rPr>
          <w:rFonts w:ascii="Arial" w:hAnsi="Arial" w:cs="Arial"/>
          <w:sz w:val="20"/>
          <w:lang w:val="de-DE"/>
        </w:rPr>
        <w:t xml:space="preserve">, den sie im Kalenderjahr 2019 in diesem Bereich erzielt haben. Diese Anbieter bilden das technologische Rückgrat der Finanzdienstleistungsbranche, </w:t>
      </w:r>
      <w:r w:rsidR="008F7F4F" w:rsidRPr="000F0622">
        <w:rPr>
          <w:rFonts w:ascii="Arial" w:hAnsi="Arial" w:cs="Arial"/>
          <w:sz w:val="20"/>
          <w:lang w:val="de-DE"/>
        </w:rPr>
        <w:t xml:space="preserve">für die IDC Financial Insights die weltweiten Ausgaben für IT bis 2024 mit über 577 Milliarden US-Dollar prognostiziert. </w:t>
      </w:r>
    </w:p>
    <w:p w14:paraId="7FC94B4F" w14:textId="685B1094" w:rsidR="008F7F4F" w:rsidRPr="000F0622" w:rsidRDefault="008F7F4F" w:rsidP="00323668">
      <w:pPr>
        <w:pStyle w:val="Default"/>
        <w:jc w:val="both"/>
        <w:rPr>
          <w:rFonts w:ascii="Arial" w:hAnsi="Arial" w:cs="Arial"/>
          <w:sz w:val="20"/>
          <w:lang w:val="de-DE"/>
        </w:rPr>
      </w:pPr>
    </w:p>
    <w:p w14:paraId="0897F9C7" w14:textId="62FE4080" w:rsidR="008F7F4F" w:rsidRPr="000F0622" w:rsidRDefault="008F7F4F" w:rsidP="00323668">
      <w:pPr>
        <w:pStyle w:val="Default"/>
        <w:jc w:val="both"/>
        <w:rPr>
          <w:rFonts w:ascii="Arial" w:hAnsi="Arial" w:cs="Arial"/>
          <w:sz w:val="20"/>
          <w:lang w:val="de-DE"/>
        </w:rPr>
      </w:pPr>
      <w:r w:rsidRPr="000F0622">
        <w:rPr>
          <w:rFonts w:ascii="Arial" w:hAnsi="Arial" w:cs="Arial"/>
          <w:sz w:val="20"/>
          <w:lang w:val="de-DE"/>
        </w:rPr>
        <w:t>„</w:t>
      </w:r>
      <w:r w:rsidR="009E0112" w:rsidRPr="000F0622">
        <w:rPr>
          <w:rFonts w:ascii="Arial" w:hAnsi="Arial" w:cs="Arial"/>
          <w:sz w:val="20"/>
          <w:lang w:val="de-DE"/>
        </w:rPr>
        <w:t xml:space="preserve">Unternehmen der </w:t>
      </w:r>
      <w:r w:rsidRPr="000F0622">
        <w:rPr>
          <w:rFonts w:ascii="Arial" w:hAnsi="Arial" w:cs="Arial"/>
          <w:sz w:val="20"/>
          <w:lang w:val="de-DE"/>
        </w:rPr>
        <w:t>Finanzdienstleistu</w:t>
      </w:r>
      <w:r w:rsidR="009E0112" w:rsidRPr="000F0622">
        <w:rPr>
          <w:rFonts w:ascii="Arial" w:hAnsi="Arial" w:cs="Arial"/>
          <w:sz w:val="20"/>
          <w:lang w:val="de-DE"/>
        </w:rPr>
        <w:t>ngsbranche</w:t>
      </w:r>
      <w:r w:rsidR="00297ABE" w:rsidRPr="000F0622">
        <w:rPr>
          <w:rFonts w:ascii="Arial" w:hAnsi="Arial" w:cs="Arial"/>
          <w:sz w:val="20"/>
          <w:lang w:val="de-DE"/>
        </w:rPr>
        <w:t xml:space="preserve"> schöpfen ihre </w:t>
      </w:r>
      <w:r w:rsidRPr="000F0622">
        <w:rPr>
          <w:rFonts w:ascii="Arial" w:hAnsi="Arial" w:cs="Arial"/>
          <w:sz w:val="20"/>
          <w:lang w:val="de-DE"/>
        </w:rPr>
        <w:t>IT-Kapazitäten</w:t>
      </w:r>
      <w:r w:rsidR="00297ABE" w:rsidRPr="000F0622">
        <w:rPr>
          <w:rFonts w:ascii="Arial" w:hAnsi="Arial" w:cs="Arial"/>
          <w:sz w:val="20"/>
          <w:lang w:val="de-DE"/>
        </w:rPr>
        <w:t xml:space="preserve"> voll aus</w:t>
      </w:r>
      <w:r w:rsidRPr="000F0622">
        <w:rPr>
          <w:rFonts w:ascii="Arial" w:hAnsi="Arial" w:cs="Arial"/>
          <w:sz w:val="20"/>
          <w:lang w:val="de-DE"/>
        </w:rPr>
        <w:t>, um ihre Wettbewerbsfähigkeit zu steigern und sich auf die Zukunft vorzubereiten“, sagte His</w:t>
      </w:r>
      <w:r w:rsidR="00297ABE" w:rsidRPr="000F0622">
        <w:rPr>
          <w:rFonts w:ascii="Arial" w:hAnsi="Arial" w:cs="Arial"/>
          <w:sz w:val="20"/>
          <w:lang w:val="de-DE"/>
        </w:rPr>
        <w:t xml:space="preserve">ashi Matsunaga, Director and Executive Vice President, Head of Banking Headquarters, NTT DATA Corporation. „Dieser </w:t>
      </w:r>
      <w:r w:rsidR="00D17830">
        <w:rPr>
          <w:rFonts w:ascii="Arial" w:hAnsi="Arial" w:cs="Arial"/>
          <w:sz w:val="20"/>
          <w:lang w:val="de-DE"/>
        </w:rPr>
        <w:t xml:space="preserve">wiederholte </w:t>
      </w:r>
      <w:r w:rsidR="00297ABE" w:rsidRPr="000F0622">
        <w:rPr>
          <w:rFonts w:ascii="Arial" w:hAnsi="Arial" w:cs="Arial"/>
          <w:sz w:val="20"/>
          <w:lang w:val="de-DE"/>
        </w:rPr>
        <w:t xml:space="preserve">dritte Platz in Folge zeigt, dass wir eine starke Erfolgsbilanz in der Branche </w:t>
      </w:r>
      <w:r w:rsidR="00D17830">
        <w:rPr>
          <w:rFonts w:ascii="Arial" w:hAnsi="Arial" w:cs="Arial"/>
          <w:sz w:val="20"/>
          <w:lang w:val="de-DE"/>
        </w:rPr>
        <w:t>vorweisen können</w:t>
      </w:r>
      <w:r w:rsidR="00297ABE" w:rsidRPr="000F0622">
        <w:rPr>
          <w:rFonts w:ascii="Arial" w:hAnsi="Arial" w:cs="Arial"/>
          <w:sz w:val="20"/>
          <w:lang w:val="de-DE"/>
        </w:rPr>
        <w:t>.</w:t>
      </w:r>
      <w:r w:rsidR="004F555B">
        <w:rPr>
          <w:rFonts w:ascii="Arial" w:hAnsi="Arial" w:cs="Arial"/>
          <w:sz w:val="20"/>
          <w:lang w:val="de-DE"/>
        </w:rPr>
        <w:t>“</w:t>
      </w:r>
      <w:r w:rsidR="00297ABE" w:rsidRPr="000F0622">
        <w:rPr>
          <w:rFonts w:ascii="Arial" w:hAnsi="Arial" w:cs="Arial"/>
          <w:sz w:val="20"/>
          <w:lang w:val="de-DE"/>
        </w:rPr>
        <w:t xml:space="preserve"> Wir sind hochmotiviert, den weltweit führenden Finanzinstitutionen weiterhin die richtigen digitalen Lösungen zur Verfügung zu stellen, die ihnen dabei helfen, einen hervorragenden Kundenservice zu bieten, das Unternehmenswachstum zu beschleunigen und ihre Organisationen zu vereinfachen.“ </w:t>
      </w:r>
    </w:p>
    <w:p w14:paraId="2376ABBA" w14:textId="1AA6B6B2" w:rsidR="00CA0B91" w:rsidRPr="000F0622" w:rsidRDefault="00CA0B91" w:rsidP="00323668">
      <w:pPr>
        <w:pStyle w:val="Default"/>
        <w:jc w:val="both"/>
        <w:rPr>
          <w:rFonts w:ascii="Arial" w:hAnsi="Arial" w:cs="Arial"/>
          <w:sz w:val="20"/>
          <w:lang w:val="de-DE"/>
        </w:rPr>
      </w:pPr>
    </w:p>
    <w:p w14:paraId="08BB8004" w14:textId="37797C3F" w:rsidR="00CA0B91" w:rsidRPr="000F0622" w:rsidRDefault="00CA0B91" w:rsidP="00323668">
      <w:pPr>
        <w:pStyle w:val="Default"/>
        <w:jc w:val="both"/>
        <w:rPr>
          <w:rFonts w:ascii="Arial" w:hAnsi="Arial" w:cs="Arial"/>
          <w:sz w:val="20"/>
          <w:lang w:val="de-DE"/>
        </w:rPr>
      </w:pPr>
      <w:r w:rsidRPr="000F0622">
        <w:rPr>
          <w:rFonts w:ascii="Arial" w:hAnsi="Arial" w:cs="Arial"/>
          <w:sz w:val="20"/>
          <w:lang w:val="de-DE"/>
        </w:rPr>
        <w:t xml:space="preserve">Die Daten für das jährliche IDC FinTech-Ranking stammen aus Umfragen der IT-Anbieter sowie </w:t>
      </w:r>
      <w:r w:rsidR="00E6608D" w:rsidRPr="000F0622">
        <w:rPr>
          <w:rFonts w:ascii="Arial" w:hAnsi="Arial" w:cs="Arial"/>
          <w:sz w:val="20"/>
          <w:lang w:val="de-DE"/>
        </w:rPr>
        <w:t>F</w:t>
      </w:r>
      <w:r w:rsidRPr="000F0622">
        <w:rPr>
          <w:rFonts w:ascii="Arial" w:hAnsi="Arial" w:cs="Arial"/>
          <w:sz w:val="20"/>
          <w:lang w:val="de-DE"/>
        </w:rPr>
        <w:t xml:space="preserve">orschungen und Marktanalysen, die von IDC Financial Insights durchgeführt wurden. </w:t>
      </w:r>
    </w:p>
    <w:p w14:paraId="4AA0469E" w14:textId="01C1EB0D" w:rsidR="00E6608D" w:rsidRPr="000F0622" w:rsidRDefault="00E6608D" w:rsidP="00323668">
      <w:pPr>
        <w:pStyle w:val="Default"/>
        <w:jc w:val="both"/>
        <w:rPr>
          <w:rFonts w:ascii="Arial" w:hAnsi="Arial" w:cs="Arial"/>
          <w:sz w:val="20"/>
          <w:lang w:val="de-DE"/>
        </w:rPr>
      </w:pPr>
    </w:p>
    <w:p w14:paraId="0763086D" w14:textId="7958B9A9" w:rsidR="00E6608D" w:rsidRPr="000F0622" w:rsidRDefault="00E6608D" w:rsidP="00323668">
      <w:pPr>
        <w:pStyle w:val="Default"/>
        <w:jc w:val="both"/>
        <w:rPr>
          <w:rFonts w:ascii="Arial" w:hAnsi="Arial" w:cs="Arial"/>
          <w:sz w:val="20"/>
          <w:lang w:val="de-DE"/>
        </w:rPr>
      </w:pPr>
      <w:r w:rsidRPr="000F0622">
        <w:rPr>
          <w:rFonts w:ascii="Arial" w:hAnsi="Arial" w:cs="Arial"/>
          <w:sz w:val="20"/>
          <w:lang w:val="de-DE"/>
        </w:rPr>
        <w:t xml:space="preserve">„Die Erwähnung im IDC FinTech-Ranking ist eine bedeutsame Anerkennung, die das Bemühen eines Anbieters um den Erfolg seiner Kunden aus der Finanzbranche </w:t>
      </w:r>
      <w:r w:rsidR="009E0112" w:rsidRPr="000F0622">
        <w:rPr>
          <w:rFonts w:ascii="Arial" w:hAnsi="Arial" w:cs="Arial"/>
          <w:sz w:val="20"/>
          <w:lang w:val="de-DE"/>
        </w:rPr>
        <w:t>widerspiegel</w:t>
      </w:r>
      <w:r w:rsidRPr="000F0622">
        <w:rPr>
          <w:rFonts w:ascii="Arial" w:hAnsi="Arial" w:cs="Arial"/>
          <w:sz w:val="20"/>
          <w:lang w:val="de-DE"/>
        </w:rPr>
        <w:t>t“, sagte Marc DeCastro, Research Director b</w:t>
      </w:r>
      <w:r w:rsidR="00BA5FDB">
        <w:rPr>
          <w:rFonts w:ascii="Arial" w:hAnsi="Arial" w:cs="Arial"/>
          <w:sz w:val="20"/>
          <w:lang w:val="de-DE"/>
        </w:rPr>
        <w:t>ei</w:t>
      </w:r>
      <w:r w:rsidRPr="000F0622">
        <w:rPr>
          <w:rFonts w:ascii="Arial" w:hAnsi="Arial" w:cs="Arial"/>
          <w:sz w:val="20"/>
          <w:lang w:val="de-DE"/>
        </w:rPr>
        <w:t xml:space="preserve"> IDC Financial Insights. „Das FinTech-Ranking, das nun schon seit 17 Jahren besteht, ist </w:t>
      </w:r>
      <w:r w:rsidR="000F0622" w:rsidRPr="000F0622">
        <w:rPr>
          <w:rFonts w:ascii="Arial" w:hAnsi="Arial" w:cs="Arial"/>
          <w:sz w:val="20"/>
          <w:lang w:val="de-DE"/>
        </w:rPr>
        <w:t>d</w:t>
      </w:r>
      <w:r w:rsidR="000F0622">
        <w:rPr>
          <w:rFonts w:ascii="Arial" w:hAnsi="Arial" w:cs="Arial"/>
          <w:sz w:val="20"/>
          <w:lang w:val="de-DE"/>
        </w:rPr>
        <w:t>er</w:t>
      </w:r>
      <w:r w:rsidR="000F0622" w:rsidRPr="000F0622">
        <w:rPr>
          <w:rFonts w:ascii="Arial" w:hAnsi="Arial" w:cs="Arial"/>
          <w:sz w:val="20"/>
          <w:lang w:val="de-DE"/>
        </w:rPr>
        <w:t xml:space="preserve"> </w:t>
      </w:r>
      <w:r w:rsidRPr="000F0622">
        <w:rPr>
          <w:rFonts w:ascii="Arial" w:hAnsi="Arial" w:cs="Arial"/>
          <w:sz w:val="20"/>
          <w:lang w:val="de-DE"/>
        </w:rPr>
        <w:t xml:space="preserve">weltweite </w:t>
      </w:r>
      <w:r w:rsidR="000F0622">
        <w:rPr>
          <w:rFonts w:ascii="Arial" w:hAnsi="Arial" w:cs="Arial"/>
          <w:sz w:val="20"/>
          <w:lang w:val="de-DE"/>
        </w:rPr>
        <w:t>Ranglistenstandard für</w:t>
      </w:r>
      <w:r w:rsidR="000F0622" w:rsidRPr="000F0622">
        <w:rPr>
          <w:rFonts w:ascii="Arial" w:hAnsi="Arial" w:cs="Arial"/>
          <w:sz w:val="20"/>
          <w:lang w:val="de-DE"/>
        </w:rPr>
        <w:t xml:space="preserve"> </w:t>
      </w:r>
      <w:r w:rsidRPr="000F0622">
        <w:rPr>
          <w:rFonts w:ascii="Arial" w:hAnsi="Arial" w:cs="Arial"/>
          <w:sz w:val="20"/>
          <w:lang w:val="de-DE"/>
        </w:rPr>
        <w:t xml:space="preserve">Fintech-Anbieter der Finanzbranche, und wir gratulieren den diesjährigen Gewinnern.“ </w:t>
      </w:r>
    </w:p>
    <w:p w14:paraId="0FC459D2" w14:textId="7AB688EE" w:rsidR="00E6608D" w:rsidRPr="000F0622" w:rsidRDefault="00E6608D" w:rsidP="00323668">
      <w:pPr>
        <w:pStyle w:val="Default"/>
        <w:jc w:val="both"/>
        <w:rPr>
          <w:rFonts w:ascii="Arial" w:hAnsi="Arial" w:cs="Arial"/>
          <w:sz w:val="20"/>
          <w:lang w:val="de-DE"/>
        </w:rPr>
      </w:pPr>
    </w:p>
    <w:p w14:paraId="748F8397" w14:textId="79A6CC2C" w:rsidR="00E6608D" w:rsidRPr="000F0622" w:rsidRDefault="00E6608D" w:rsidP="00E6608D">
      <w:pPr>
        <w:pStyle w:val="Default"/>
        <w:jc w:val="both"/>
        <w:rPr>
          <w:rFonts w:ascii="Arial" w:hAnsi="Arial" w:cs="Arial"/>
          <w:sz w:val="20"/>
          <w:lang w:val="de-DE"/>
        </w:rPr>
      </w:pPr>
      <w:r w:rsidRPr="000F0622">
        <w:rPr>
          <w:rFonts w:ascii="Arial" w:hAnsi="Arial" w:cs="Arial"/>
          <w:sz w:val="20"/>
          <w:lang w:val="de-DE"/>
        </w:rPr>
        <w:t xml:space="preserve">NTT DATA </w:t>
      </w:r>
      <w:r w:rsidR="00F81BA4" w:rsidRPr="000F0622">
        <w:rPr>
          <w:rFonts w:ascii="Arial" w:hAnsi="Arial" w:cs="Arial"/>
          <w:sz w:val="20"/>
          <w:lang w:val="de-DE"/>
        </w:rPr>
        <w:t xml:space="preserve">greift auf fundierte </w:t>
      </w:r>
      <w:r w:rsidRPr="000F0622">
        <w:rPr>
          <w:rFonts w:ascii="Arial" w:hAnsi="Arial" w:cs="Arial"/>
          <w:sz w:val="20"/>
          <w:lang w:val="de-DE"/>
        </w:rPr>
        <w:t>Branchenkenntnisse</w:t>
      </w:r>
      <w:r w:rsidR="00F81BA4" w:rsidRPr="000F0622">
        <w:rPr>
          <w:rFonts w:ascii="Arial" w:hAnsi="Arial" w:cs="Arial"/>
          <w:sz w:val="20"/>
          <w:lang w:val="de-DE"/>
        </w:rPr>
        <w:t xml:space="preserve"> zurück</w:t>
      </w:r>
      <w:r w:rsidR="00D17830">
        <w:rPr>
          <w:rFonts w:ascii="Arial" w:hAnsi="Arial" w:cs="Arial"/>
          <w:sz w:val="20"/>
          <w:lang w:val="de-DE"/>
        </w:rPr>
        <w:t xml:space="preserve"> und bietet so den</w:t>
      </w:r>
      <w:r w:rsidRPr="000F0622">
        <w:rPr>
          <w:rFonts w:ascii="Arial" w:hAnsi="Arial" w:cs="Arial"/>
          <w:sz w:val="20"/>
          <w:lang w:val="de-DE"/>
        </w:rPr>
        <w:t xml:space="preserve"> Kunden die </w:t>
      </w:r>
      <w:r w:rsidR="00D17830">
        <w:rPr>
          <w:rFonts w:ascii="Arial" w:hAnsi="Arial" w:cs="Arial"/>
          <w:sz w:val="20"/>
          <w:lang w:val="de-DE"/>
        </w:rPr>
        <w:t xml:space="preserve">notwendigen </w:t>
      </w:r>
      <w:r w:rsidRPr="000F0622">
        <w:rPr>
          <w:rFonts w:ascii="Arial" w:hAnsi="Arial" w:cs="Arial"/>
          <w:sz w:val="20"/>
          <w:lang w:val="de-DE"/>
        </w:rPr>
        <w:t>Einblicke, Lösungen und Ergebnisse, um in allen Bereichen der Finanzdienstleistungen erfolgreich zu sein. Das breit gefächerte</w:t>
      </w:r>
      <w:r w:rsidR="00F81BA4" w:rsidRPr="000F0622">
        <w:rPr>
          <w:rFonts w:ascii="Arial" w:hAnsi="Arial" w:cs="Arial"/>
          <w:sz w:val="20"/>
          <w:lang w:val="de-DE"/>
        </w:rPr>
        <w:t xml:space="preserve"> A</w:t>
      </w:r>
      <w:r w:rsidRPr="000F0622">
        <w:rPr>
          <w:rFonts w:ascii="Arial" w:hAnsi="Arial" w:cs="Arial"/>
          <w:sz w:val="20"/>
          <w:lang w:val="de-DE"/>
        </w:rPr>
        <w:t xml:space="preserve">ngebot des Unternehmens unterstützt Kunden </w:t>
      </w:r>
      <w:r w:rsidR="00341BB1">
        <w:rPr>
          <w:rFonts w:ascii="Arial" w:hAnsi="Arial" w:cs="Arial"/>
          <w:sz w:val="20"/>
          <w:lang w:val="de-DE"/>
        </w:rPr>
        <w:t>da</w:t>
      </w:r>
      <w:r w:rsidRPr="000F0622">
        <w:rPr>
          <w:rFonts w:ascii="Arial" w:hAnsi="Arial" w:cs="Arial"/>
          <w:sz w:val="20"/>
          <w:lang w:val="de-DE"/>
        </w:rPr>
        <w:t>bei</w:t>
      </w:r>
      <w:r w:rsidR="00341BB1">
        <w:rPr>
          <w:rFonts w:ascii="Arial" w:hAnsi="Arial" w:cs="Arial"/>
          <w:sz w:val="20"/>
          <w:lang w:val="de-DE"/>
        </w:rPr>
        <w:t>,</w:t>
      </w:r>
      <w:r w:rsidRPr="000F0622">
        <w:rPr>
          <w:rFonts w:ascii="Arial" w:hAnsi="Arial" w:cs="Arial"/>
          <w:sz w:val="20"/>
          <w:lang w:val="de-DE"/>
        </w:rPr>
        <w:t xml:space="preserve"> neue Einnahmequellen durch kreative Geschäftsmodelle</w:t>
      </w:r>
      <w:r w:rsidR="00341BB1">
        <w:rPr>
          <w:rFonts w:ascii="Arial" w:hAnsi="Arial" w:cs="Arial"/>
          <w:sz w:val="20"/>
          <w:lang w:val="de-DE"/>
        </w:rPr>
        <w:t xml:space="preserve"> zu erschließen,</w:t>
      </w:r>
      <w:r w:rsidRPr="000F0622">
        <w:rPr>
          <w:rFonts w:ascii="Arial" w:hAnsi="Arial" w:cs="Arial"/>
          <w:sz w:val="20"/>
          <w:lang w:val="de-DE"/>
        </w:rPr>
        <w:t xml:space="preserve"> die die IT-Komplexität reduzieren, Risiken mindern, globale Vorschriften einhalten und die </w:t>
      </w:r>
      <w:r w:rsidR="000F0622" w:rsidRPr="000F0622">
        <w:rPr>
          <w:rFonts w:ascii="Arial" w:hAnsi="Arial" w:cs="Arial"/>
          <w:sz w:val="20"/>
          <w:lang w:val="de-DE"/>
        </w:rPr>
        <w:t>Kunden</w:t>
      </w:r>
      <w:r w:rsidR="000F0622">
        <w:rPr>
          <w:rFonts w:ascii="Arial" w:hAnsi="Arial" w:cs="Arial"/>
          <w:sz w:val="20"/>
          <w:lang w:val="de-DE"/>
        </w:rPr>
        <w:t>orientierung</w:t>
      </w:r>
      <w:r w:rsidR="000F0622" w:rsidRPr="000F0622">
        <w:rPr>
          <w:rFonts w:ascii="Arial" w:hAnsi="Arial" w:cs="Arial"/>
          <w:sz w:val="20"/>
          <w:lang w:val="de-DE"/>
        </w:rPr>
        <w:t xml:space="preserve"> </w:t>
      </w:r>
      <w:r w:rsidRPr="000F0622">
        <w:rPr>
          <w:rFonts w:ascii="Arial" w:hAnsi="Arial" w:cs="Arial"/>
          <w:sz w:val="20"/>
          <w:lang w:val="de-DE"/>
        </w:rPr>
        <w:t>erhöhen.</w:t>
      </w:r>
    </w:p>
    <w:p w14:paraId="40B81D02" w14:textId="52F3919E" w:rsidR="00E6608D" w:rsidRDefault="00E6608D" w:rsidP="00E6608D">
      <w:pPr>
        <w:pStyle w:val="Default"/>
        <w:jc w:val="both"/>
        <w:rPr>
          <w:rFonts w:ascii="Arial" w:hAnsi="Arial" w:cs="Arial"/>
          <w:sz w:val="20"/>
          <w:lang w:val="de-DE"/>
        </w:rPr>
      </w:pPr>
    </w:p>
    <w:p w14:paraId="6526459E" w14:textId="0849BBD5" w:rsidR="00635BDE" w:rsidRDefault="00635BDE" w:rsidP="00E6608D">
      <w:pPr>
        <w:pStyle w:val="Default"/>
        <w:jc w:val="both"/>
        <w:rPr>
          <w:rFonts w:ascii="Arial" w:hAnsi="Arial" w:cs="Arial"/>
          <w:sz w:val="20"/>
          <w:lang w:val="de-DE"/>
        </w:rPr>
      </w:pPr>
    </w:p>
    <w:p w14:paraId="0FB79068" w14:textId="77777777" w:rsidR="00635BDE" w:rsidRPr="000F0622" w:rsidRDefault="00635BDE" w:rsidP="00E6608D">
      <w:pPr>
        <w:pStyle w:val="Default"/>
        <w:jc w:val="both"/>
        <w:rPr>
          <w:rFonts w:ascii="Arial" w:hAnsi="Arial" w:cs="Arial"/>
          <w:sz w:val="20"/>
          <w:lang w:val="de-DE"/>
        </w:rPr>
      </w:pPr>
    </w:p>
    <w:p w14:paraId="561ED2DC" w14:textId="778C23C6" w:rsidR="00CA0B91" w:rsidRPr="000F0622" w:rsidRDefault="00CA0B91" w:rsidP="00323668">
      <w:pPr>
        <w:pStyle w:val="Default"/>
        <w:jc w:val="both"/>
        <w:rPr>
          <w:rFonts w:ascii="Arial" w:hAnsi="Arial" w:cs="Arial"/>
          <w:sz w:val="20"/>
          <w:lang w:val="de-DE"/>
        </w:rPr>
      </w:pPr>
    </w:p>
    <w:p w14:paraId="56456BAC" w14:textId="77777777" w:rsidR="00CA0B91" w:rsidRPr="000F0622" w:rsidRDefault="00CA0B91" w:rsidP="00323668">
      <w:pPr>
        <w:pStyle w:val="Default"/>
        <w:jc w:val="both"/>
        <w:rPr>
          <w:rFonts w:ascii="Arial" w:hAnsi="Arial" w:cs="Arial"/>
          <w:b/>
          <w:bCs/>
          <w:color w:val="000000" w:themeColor="text1"/>
          <w:sz w:val="20"/>
          <w:szCs w:val="22"/>
          <w:lang w:val="de-DE"/>
        </w:rPr>
      </w:pPr>
    </w:p>
    <w:p w14:paraId="7CFD5C62" w14:textId="77777777" w:rsidR="00BA5FDB" w:rsidRDefault="00BA5FDB" w:rsidP="00F81BA4">
      <w:pPr>
        <w:pStyle w:val="StandardWeb"/>
        <w:ind w:right="-1"/>
        <w:jc w:val="both"/>
        <w:rPr>
          <w:rFonts w:ascii="Arial" w:eastAsiaTheme="minorHAnsi" w:hAnsi="Arial" w:cs="Arial"/>
          <w:b/>
          <w:bCs/>
          <w:color w:val="000000" w:themeColor="text1"/>
          <w:sz w:val="20"/>
          <w:szCs w:val="22"/>
          <w:lang w:val="de-DE" w:eastAsia="en-US"/>
        </w:rPr>
      </w:pPr>
    </w:p>
    <w:p w14:paraId="7BC8C72A" w14:textId="77777777" w:rsidR="00D27BBB" w:rsidRPr="000F0622" w:rsidRDefault="00D27BBB" w:rsidP="00D27BBB">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IDC Financial Insights</w:t>
      </w:r>
    </w:p>
    <w:p w14:paraId="608D8C0B" w14:textId="29A71D4C" w:rsidR="00D27BBB" w:rsidRPr="003A0772" w:rsidRDefault="00D27BBB" w:rsidP="00D27BBB">
      <w:pPr>
        <w:pStyle w:val="StandardWeb"/>
        <w:ind w:right="-1"/>
        <w:jc w:val="both"/>
        <w:rPr>
          <w:rFonts w:ascii="Arial" w:hAnsi="Arial" w:cs="Arial"/>
          <w:sz w:val="20"/>
          <w:szCs w:val="20"/>
        </w:rPr>
      </w:pPr>
      <w:r w:rsidRPr="003A0772">
        <w:rPr>
          <w:rFonts w:ascii="Arial" w:eastAsiaTheme="minorHAnsi" w:hAnsi="Arial" w:cs="Arial"/>
          <w:color w:val="000000" w:themeColor="text1"/>
          <w:sz w:val="20"/>
          <w:szCs w:val="20"/>
          <w:lang w:val="de-DE" w:eastAsia="en-US"/>
        </w:rPr>
        <w:t xml:space="preserve">IDC Financial Insights unterstützt Finanzdienstleistungsunternehmen und IT-Führungskräfte sowie die Lieferanten, die sie beliefern, durch die Bereitstellung präziser, zeitnaher und aufschlussreicher faktengestützter Forschungs- und Beratungsdienste dabei, effektivere Technologieentscheidungen zu treffen. Besetzt mit erfahrenen Analysten mit jahrzehntelanger Branchenerfahrung, analysiert und berät unser globales Forschungsteam bei geschäftlichen und technologischen Fragen, mit denen die Banken-, Versicherungs- und Wertpapier- und Investmentbranche </w:t>
      </w:r>
      <w:r w:rsidRPr="003A0772">
        <w:rPr>
          <w:rFonts w:ascii="Arial" w:eastAsiaTheme="minorHAnsi" w:hAnsi="Arial" w:cs="Arial"/>
          <w:color w:val="000000" w:themeColor="text1"/>
          <w:sz w:val="20"/>
          <w:szCs w:val="20"/>
          <w:lang w:val="de-DE" w:eastAsia="en-US"/>
        </w:rPr>
        <w:lastRenderedPageBreak/>
        <w:t xml:space="preserve">konfrontiert ist. Die International Data Corporation (IDC) ist der weltweit führende Anbieter von Marktinformationen, Beratungsdiensten und Veranstaltungen für den Informationstechnologiemarkt. IDC ist eine Tochtergesellschaft von IDG, dem weltweit führenden Technologie-, Medien-, Forschungs- und Veranstaltungsunternehmen. Weitere Informationen finden Sie auf </w:t>
      </w:r>
      <w:r w:rsidRPr="003A0772">
        <w:rPr>
          <w:rFonts w:ascii="Arial" w:hAnsi="Arial" w:cs="Arial"/>
          <w:sz w:val="20"/>
          <w:szCs w:val="20"/>
        </w:rPr>
        <w:t>www.idc.com</w:t>
      </w:r>
    </w:p>
    <w:p w14:paraId="2DF095A9" w14:textId="4D31725E" w:rsidR="00F81BA4" w:rsidRPr="000F0622" w:rsidRDefault="00F81BA4" w:rsidP="00F81BA4">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01AA2FE4" w14:textId="37247D8C" w:rsidR="00F81BA4" w:rsidRDefault="00F81BA4" w:rsidP="00F81BA4">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NTT DATA – ein Teil der NTT Group – ist Trusted Global Innovator von Business- und IT-Lösungen mit Hauptsitz in Tokio. Wir unterstützen unsere Kunden bei ihrer Transformation durch Consulting, Branchenlösungen, Business Process Services, IT-Modernisierung und Managed Services. Mit NTT DATA können Kunden und die Gesellschaft im Allgemeinen selbstbewusst in die digitale Zukunft gehen. Wir setzen uns für den langfristigen Erfolg unserer Kunden ein und kombinieren globale Präsenz mit lokaler Kundenbetreuung in über 50 Ländern. W</w:t>
      </w:r>
      <w:r w:rsidR="00341BB1">
        <w:rPr>
          <w:rFonts w:ascii="Arial" w:eastAsiaTheme="minorHAnsi" w:hAnsi="Arial" w:cs="Arial"/>
          <w:color w:val="000000" w:themeColor="text1"/>
          <w:sz w:val="20"/>
          <w:szCs w:val="22"/>
          <w:lang w:val="de-DE" w:eastAsia="en-US"/>
        </w:rPr>
        <w:t xml:space="preserve">eitere Informationen finden Sie für </w:t>
      </w:r>
    </w:p>
    <w:p w14:paraId="067ED316" w14:textId="630813F1" w:rsidR="00341BB1" w:rsidRPr="00341BB1" w:rsidRDefault="00341BB1" w:rsidP="00341BB1">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383477E7" w14:textId="3472F3CE" w:rsidR="003A0772" w:rsidRPr="000F0622" w:rsidRDefault="003A0772" w:rsidP="003A0772">
      <w:pPr>
        <w:spacing w:before="0" w:after="200" w:line="276" w:lineRule="auto"/>
        <w:rPr>
          <w:rFonts w:cs="Arial"/>
          <w:b/>
          <w:color w:val="000000" w:themeColor="text1"/>
          <w:lang w:val="de-DE"/>
        </w:rPr>
      </w:pPr>
      <w:r w:rsidRPr="000F0622">
        <w:rPr>
          <w:rFonts w:cs="Arial"/>
          <w:b/>
          <w:color w:val="000000" w:themeColor="text1"/>
          <w:lang w:val="de-DE"/>
        </w:rPr>
        <w:t>Pressekontakt</w:t>
      </w:r>
      <w:r w:rsidR="00341BB1">
        <w:rPr>
          <w:rFonts w:cs="Arial"/>
          <w:b/>
          <w:color w:val="000000" w:themeColor="text1"/>
          <w:lang w:val="de-DE"/>
        </w:rPr>
        <w:t xml:space="preserve"> für Deutschland, Österreich und Schweiz</w:t>
      </w:r>
      <w:r w:rsidRPr="000F0622">
        <w:rPr>
          <w:rFonts w:cs="Arial"/>
          <w:b/>
          <w:color w:val="000000" w:themeColor="text1"/>
          <w:lang w:val="de-DE"/>
        </w:rPr>
        <w:t>:</w:t>
      </w:r>
    </w:p>
    <w:p w14:paraId="4FE89E3A" w14:textId="77777777" w:rsidR="003A0772" w:rsidRPr="00635BD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2A0AF196" w14:textId="77777777" w:rsidR="003A0772" w:rsidRPr="0069575E" w:rsidRDefault="003A0772" w:rsidP="003A0772">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00E2CB28" w14:textId="77777777" w:rsidR="003A0772" w:rsidRPr="00BA5FDB" w:rsidRDefault="003A0772" w:rsidP="003A0772">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79871D6" w14:textId="77777777" w:rsidR="003A0772" w:rsidRPr="0069575E" w:rsidRDefault="003A0772" w:rsidP="003A0772">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4E53C9FA" w14:textId="2714B1D6" w:rsidR="003A0772" w:rsidRDefault="003A0772" w:rsidP="003A0772">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9" w:history="1">
        <w:r w:rsidRPr="000F0622">
          <w:rPr>
            <w:rStyle w:val="Hyperlink"/>
            <w:rFonts w:ascii="Arial" w:hAnsi="Arial" w:cs="Arial"/>
            <w:color w:val="auto"/>
            <w:sz w:val="20"/>
            <w:szCs w:val="20"/>
            <w:lang w:val="de-DE"/>
          </w:rPr>
          <w:t>Katja.Friedrich@nttdata.com</w:t>
        </w:r>
      </w:hyperlink>
    </w:p>
    <w:p w14:paraId="3D05A315" w14:textId="47F2025B" w:rsidR="004C4631" w:rsidRPr="00341BB1" w:rsidRDefault="004C4631" w:rsidP="003A0772">
      <w:pPr>
        <w:pStyle w:val="StandardWeb"/>
        <w:spacing w:before="0" w:beforeAutospacing="0" w:after="0" w:afterAutospacing="0"/>
        <w:ind w:right="1417"/>
        <w:rPr>
          <w:rFonts w:ascii="Arial" w:eastAsiaTheme="minorHAnsi" w:hAnsi="Arial" w:cs="Arial"/>
          <w:sz w:val="20"/>
          <w:szCs w:val="20"/>
          <w:lang w:val="de-DE" w:eastAsia="en-US"/>
        </w:rPr>
      </w:pPr>
    </w:p>
    <w:sectPr w:rsidR="004C4631" w:rsidRPr="00341BB1">
      <w:headerReference w:type="default" r:id="rId10"/>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8A6A" w16cex:dateUtc="2020-10-21T08:01:00Z"/>
  <w16cex:commentExtensible w16cex:durableId="233A8712" w16cex:dateUtc="2020-10-2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27084" w16cid:durableId="233A8A6A"/>
  <w16cid:commentId w16cid:paraId="3CFD27D1" w16cid:durableId="233A87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9B5A3" w14:textId="77777777" w:rsidR="009661B5" w:rsidRDefault="009661B5">
      <w:pPr>
        <w:spacing w:before="0" w:after="0"/>
      </w:pPr>
      <w:r>
        <w:separator/>
      </w:r>
    </w:p>
  </w:endnote>
  <w:endnote w:type="continuationSeparator" w:id="0">
    <w:p w14:paraId="754E8F64" w14:textId="77777777" w:rsidR="009661B5" w:rsidRDefault="009661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1F470" w14:textId="77777777" w:rsidR="009661B5" w:rsidRDefault="009661B5">
      <w:pPr>
        <w:spacing w:before="0" w:after="0"/>
      </w:pPr>
      <w:r>
        <w:separator/>
      </w:r>
    </w:p>
  </w:footnote>
  <w:footnote w:type="continuationSeparator" w:id="0">
    <w:p w14:paraId="31850CC4" w14:textId="77777777" w:rsidR="009661B5" w:rsidRDefault="009661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277B3771" w:rsidR="00D82B4D" w:rsidRDefault="00681466">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86"/>
    <w:multiLevelType w:val="multilevel"/>
    <w:tmpl w:val="07F24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30365336"/>
    <w:multiLevelType w:val="hybridMultilevel"/>
    <w:tmpl w:val="1556F126"/>
    <w:lvl w:ilvl="0" w:tplc="04070001">
      <w:start w:val="1"/>
      <w:numFmt w:val="bullet"/>
      <w:lvlText w:val=""/>
      <w:lvlJc w:val="left"/>
      <w:pPr>
        <w:ind w:left="1280" w:hanging="360"/>
      </w:pPr>
      <w:rPr>
        <w:rFonts w:ascii="Symbol" w:hAnsi="Symbol"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0"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15:restartNumberingAfterBreak="0">
    <w:nsid w:val="7BAB19F4"/>
    <w:multiLevelType w:val="multilevel"/>
    <w:tmpl w:val="A6D48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3"/>
  </w:num>
  <w:num w:numId="3">
    <w:abstractNumId w:val="2"/>
  </w:num>
  <w:num w:numId="4">
    <w:abstractNumId w:val="6"/>
  </w:num>
  <w:num w:numId="5">
    <w:abstractNumId w:val="14"/>
  </w:num>
  <w:num w:numId="6">
    <w:abstractNumId w:val="9"/>
  </w:num>
  <w:num w:numId="7">
    <w:abstractNumId w:val="15"/>
  </w:num>
  <w:num w:numId="8">
    <w:abstractNumId w:val="5"/>
  </w:num>
  <w:num w:numId="9">
    <w:abstractNumId w:val="7"/>
  </w:num>
  <w:num w:numId="10">
    <w:abstractNumId w:val="17"/>
  </w:num>
  <w:num w:numId="11">
    <w:abstractNumId w:val="11"/>
  </w:num>
  <w:num w:numId="12">
    <w:abstractNumId w:val="8"/>
  </w:num>
  <w:num w:numId="13">
    <w:abstractNumId w:val="12"/>
  </w:num>
  <w:num w:numId="14">
    <w:abstractNumId w:val="10"/>
  </w:num>
  <w:num w:numId="15">
    <w:abstractNumId w:val="1"/>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562B"/>
    <w:rsid w:val="00017B71"/>
    <w:rsid w:val="00031412"/>
    <w:rsid w:val="00037638"/>
    <w:rsid w:val="000457F3"/>
    <w:rsid w:val="000568DF"/>
    <w:rsid w:val="000966DE"/>
    <w:rsid w:val="000B0EFE"/>
    <w:rsid w:val="000C41F8"/>
    <w:rsid w:val="000C6A8E"/>
    <w:rsid w:val="000D4EC7"/>
    <w:rsid w:val="000E65E0"/>
    <w:rsid w:val="000F0622"/>
    <w:rsid w:val="000F14D3"/>
    <w:rsid w:val="001403B1"/>
    <w:rsid w:val="00145B41"/>
    <w:rsid w:val="00182E62"/>
    <w:rsid w:val="00192E26"/>
    <w:rsid w:val="001B7400"/>
    <w:rsid w:val="001C0959"/>
    <w:rsid w:val="001E08B8"/>
    <w:rsid w:val="00201F27"/>
    <w:rsid w:val="00202627"/>
    <w:rsid w:val="00225E17"/>
    <w:rsid w:val="00283967"/>
    <w:rsid w:val="00283EAA"/>
    <w:rsid w:val="00297ABE"/>
    <w:rsid w:val="002A215D"/>
    <w:rsid w:val="002A7F01"/>
    <w:rsid w:val="002B5EE9"/>
    <w:rsid w:val="002C2C0D"/>
    <w:rsid w:val="002C4217"/>
    <w:rsid w:val="002D4C61"/>
    <w:rsid w:val="00323668"/>
    <w:rsid w:val="003369B5"/>
    <w:rsid w:val="00341BB1"/>
    <w:rsid w:val="00354715"/>
    <w:rsid w:val="00355F14"/>
    <w:rsid w:val="00384DAA"/>
    <w:rsid w:val="003A0772"/>
    <w:rsid w:val="003A2A07"/>
    <w:rsid w:val="003A2ECB"/>
    <w:rsid w:val="003A5C5A"/>
    <w:rsid w:val="003C3A73"/>
    <w:rsid w:val="003D4A48"/>
    <w:rsid w:val="003F4F4E"/>
    <w:rsid w:val="003F6B9A"/>
    <w:rsid w:val="004010DC"/>
    <w:rsid w:val="00403821"/>
    <w:rsid w:val="0041613F"/>
    <w:rsid w:val="00441890"/>
    <w:rsid w:val="004470BD"/>
    <w:rsid w:val="004569EA"/>
    <w:rsid w:val="0045722C"/>
    <w:rsid w:val="00460492"/>
    <w:rsid w:val="00475D8D"/>
    <w:rsid w:val="004927CC"/>
    <w:rsid w:val="004C404E"/>
    <w:rsid w:val="004C4631"/>
    <w:rsid w:val="004D5FA2"/>
    <w:rsid w:val="004F555B"/>
    <w:rsid w:val="004F72A0"/>
    <w:rsid w:val="00501410"/>
    <w:rsid w:val="005054E3"/>
    <w:rsid w:val="0053468B"/>
    <w:rsid w:val="005821A8"/>
    <w:rsid w:val="005B2545"/>
    <w:rsid w:val="005B7499"/>
    <w:rsid w:val="005D7AAF"/>
    <w:rsid w:val="005E1A65"/>
    <w:rsid w:val="005F00DD"/>
    <w:rsid w:val="005F3C67"/>
    <w:rsid w:val="005F5EDB"/>
    <w:rsid w:val="00635BDE"/>
    <w:rsid w:val="00672388"/>
    <w:rsid w:val="00672423"/>
    <w:rsid w:val="00681466"/>
    <w:rsid w:val="006860E3"/>
    <w:rsid w:val="0069575E"/>
    <w:rsid w:val="006B72DF"/>
    <w:rsid w:val="006C2982"/>
    <w:rsid w:val="006C3817"/>
    <w:rsid w:val="006E2CF6"/>
    <w:rsid w:val="006E651E"/>
    <w:rsid w:val="00704633"/>
    <w:rsid w:val="00704D9F"/>
    <w:rsid w:val="00731B4F"/>
    <w:rsid w:val="00737860"/>
    <w:rsid w:val="00747813"/>
    <w:rsid w:val="00760957"/>
    <w:rsid w:val="00761A66"/>
    <w:rsid w:val="00763F5C"/>
    <w:rsid w:val="0077210A"/>
    <w:rsid w:val="007817B4"/>
    <w:rsid w:val="007B2F15"/>
    <w:rsid w:val="007B6AE4"/>
    <w:rsid w:val="007B71CE"/>
    <w:rsid w:val="007C59D6"/>
    <w:rsid w:val="007E39A8"/>
    <w:rsid w:val="007F393F"/>
    <w:rsid w:val="00807465"/>
    <w:rsid w:val="00814213"/>
    <w:rsid w:val="0082069F"/>
    <w:rsid w:val="00826E29"/>
    <w:rsid w:val="00831CF9"/>
    <w:rsid w:val="00851D33"/>
    <w:rsid w:val="008528CB"/>
    <w:rsid w:val="00865560"/>
    <w:rsid w:val="00873A50"/>
    <w:rsid w:val="008758DD"/>
    <w:rsid w:val="00880802"/>
    <w:rsid w:val="00881443"/>
    <w:rsid w:val="00890FBD"/>
    <w:rsid w:val="008A0094"/>
    <w:rsid w:val="008A0875"/>
    <w:rsid w:val="008A290A"/>
    <w:rsid w:val="008A5731"/>
    <w:rsid w:val="008B7FC5"/>
    <w:rsid w:val="008D2BD2"/>
    <w:rsid w:val="008E1E58"/>
    <w:rsid w:val="008E3B08"/>
    <w:rsid w:val="008E6FEB"/>
    <w:rsid w:val="008F7F4F"/>
    <w:rsid w:val="00902198"/>
    <w:rsid w:val="00905A9A"/>
    <w:rsid w:val="009079B1"/>
    <w:rsid w:val="009253C1"/>
    <w:rsid w:val="009325DC"/>
    <w:rsid w:val="00946340"/>
    <w:rsid w:val="009661B5"/>
    <w:rsid w:val="009742F4"/>
    <w:rsid w:val="00975B3E"/>
    <w:rsid w:val="009B3843"/>
    <w:rsid w:val="009B74E3"/>
    <w:rsid w:val="009C71EF"/>
    <w:rsid w:val="009D21FF"/>
    <w:rsid w:val="009E0112"/>
    <w:rsid w:val="00A054A2"/>
    <w:rsid w:val="00A101F7"/>
    <w:rsid w:val="00A16A99"/>
    <w:rsid w:val="00A51516"/>
    <w:rsid w:val="00A53BEE"/>
    <w:rsid w:val="00A628F7"/>
    <w:rsid w:val="00A72A81"/>
    <w:rsid w:val="00A75628"/>
    <w:rsid w:val="00A8742E"/>
    <w:rsid w:val="00A87F36"/>
    <w:rsid w:val="00AB1399"/>
    <w:rsid w:val="00AC182A"/>
    <w:rsid w:val="00AD44BF"/>
    <w:rsid w:val="00AD651A"/>
    <w:rsid w:val="00AE5838"/>
    <w:rsid w:val="00AF442D"/>
    <w:rsid w:val="00AF5179"/>
    <w:rsid w:val="00B01623"/>
    <w:rsid w:val="00B269D3"/>
    <w:rsid w:val="00B5162B"/>
    <w:rsid w:val="00B606EC"/>
    <w:rsid w:val="00B73502"/>
    <w:rsid w:val="00BA5FDB"/>
    <w:rsid w:val="00BB0F8A"/>
    <w:rsid w:val="00BB4F26"/>
    <w:rsid w:val="00BC7470"/>
    <w:rsid w:val="00BE428E"/>
    <w:rsid w:val="00BE4645"/>
    <w:rsid w:val="00BF112D"/>
    <w:rsid w:val="00C01345"/>
    <w:rsid w:val="00C05E80"/>
    <w:rsid w:val="00C1023B"/>
    <w:rsid w:val="00C158D6"/>
    <w:rsid w:val="00C16C00"/>
    <w:rsid w:val="00C44208"/>
    <w:rsid w:val="00C56552"/>
    <w:rsid w:val="00C565EA"/>
    <w:rsid w:val="00C6469B"/>
    <w:rsid w:val="00C7721C"/>
    <w:rsid w:val="00C80AAA"/>
    <w:rsid w:val="00C86523"/>
    <w:rsid w:val="00CA0B91"/>
    <w:rsid w:val="00CA2668"/>
    <w:rsid w:val="00CB2728"/>
    <w:rsid w:val="00CB68BF"/>
    <w:rsid w:val="00CB72F6"/>
    <w:rsid w:val="00CE1060"/>
    <w:rsid w:val="00CE2E35"/>
    <w:rsid w:val="00D10A9B"/>
    <w:rsid w:val="00D17830"/>
    <w:rsid w:val="00D207F1"/>
    <w:rsid w:val="00D27B4B"/>
    <w:rsid w:val="00D27BBB"/>
    <w:rsid w:val="00D45CE6"/>
    <w:rsid w:val="00D56AB5"/>
    <w:rsid w:val="00D70359"/>
    <w:rsid w:val="00D70FD5"/>
    <w:rsid w:val="00D73BE5"/>
    <w:rsid w:val="00D753C4"/>
    <w:rsid w:val="00D81AB4"/>
    <w:rsid w:val="00D82B4D"/>
    <w:rsid w:val="00DA4400"/>
    <w:rsid w:val="00DD7663"/>
    <w:rsid w:val="00DF4C95"/>
    <w:rsid w:val="00E04E4E"/>
    <w:rsid w:val="00E15A14"/>
    <w:rsid w:val="00E17CA7"/>
    <w:rsid w:val="00E25A1D"/>
    <w:rsid w:val="00E46864"/>
    <w:rsid w:val="00E6608D"/>
    <w:rsid w:val="00E7599E"/>
    <w:rsid w:val="00E82042"/>
    <w:rsid w:val="00E83C41"/>
    <w:rsid w:val="00E92285"/>
    <w:rsid w:val="00E93ADD"/>
    <w:rsid w:val="00EE15C8"/>
    <w:rsid w:val="00EE6D9A"/>
    <w:rsid w:val="00F22096"/>
    <w:rsid w:val="00F25AFE"/>
    <w:rsid w:val="00F43C5E"/>
    <w:rsid w:val="00F550F6"/>
    <w:rsid w:val="00F73DAF"/>
    <w:rsid w:val="00F76A40"/>
    <w:rsid w:val="00F77E45"/>
    <w:rsid w:val="00F81BA4"/>
    <w:rsid w:val="00F81EE1"/>
    <w:rsid w:val="00F9165D"/>
    <w:rsid w:val="00F96DDA"/>
    <w:rsid w:val="00F97A05"/>
    <w:rsid w:val="00FA4D32"/>
    <w:rsid w:val="00FA641C"/>
    <w:rsid w:val="00FC5C6F"/>
    <w:rsid w:val="00FD1ED8"/>
    <w:rsid w:val="00FE1A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63F5C"/>
    <w:rPr>
      <w:color w:val="605E5C"/>
      <w:shd w:val="clear" w:color="auto" w:fill="E1DFDD"/>
    </w:rPr>
  </w:style>
  <w:style w:type="character" w:customStyle="1" w:styleId="UnresolvedMention">
    <w:name w:val="Unresolved Mention"/>
    <w:basedOn w:val="Absatz-Standardschriftart"/>
    <w:uiPriority w:val="99"/>
    <w:semiHidden/>
    <w:unhideWhenUsed/>
    <w:rsid w:val="0085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9406884">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idc.com/prodserv/insights/RESOURCES/ATTACHMENTS/Final_Rankings_2020_Top_100_and_Ent_25_and_RR_Winners.pdf?guid=c77dcb7e-0309-4adb-a7d0-919e63125b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atja.Friedrich@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3D39-6E97-40B7-9EE0-95BF9DA1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2020-01-27T15:21:00Z</cp:lastPrinted>
  <dcterms:created xsi:type="dcterms:W3CDTF">2021-02-15T09:10:00Z</dcterms:created>
  <dcterms:modified xsi:type="dcterms:W3CDTF">2021-02-15T09:10:00Z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