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17B" w:rsidRPr="00112E68" w:rsidRDefault="00E9217B" w:rsidP="00E9217B">
      <w:pPr>
        <w:pStyle w:val="Default"/>
        <w:jc w:val="both"/>
        <w:rPr>
          <w:rStyle w:val="Fett"/>
          <w:rFonts w:ascii="Arial" w:eastAsia="Arial" w:hAnsi="Arial" w:cs="Arial"/>
          <w:color w:val="auto"/>
          <w:lang w:val="de-DE" w:eastAsia="de-DE"/>
        </w:rPr>
      </w:pPr>
      <w:bookmarkStart w:id="0" w:name="_GoBack"/>
      <w:bookmarkEnd w:id="0"/>
      <w:r w:rsidRPr="00112E68">
        <w:rPr>
          <w:rFonts w:ascii="Arial" w:hAnsi="Arial" w:cs="Arial"/>
          <w:b/>
        </w:rPr>
        <w:t xml:space="preserve">NTT DATA </w:t>
      </w:r>
      <w:proofErr w:type="spellStart"/>
      <w:r w:rsidRPr="00112E68">
        <w:rPr>
          <w:rFonts w:ascii="Arial" w:hAnsi="Arial" w:cs="Arial"/>
          <w:b/>
        </w:rPr>
        <w:t>erhält</w:t>
      </w:r>
      <w:proofErr w:type="spellEnd"/>
      <w:r w:rsidRPr="00112E68">
        <w:rPr>
          <w:rFonts w:ascii="Arial" w:hAnsi="Arial" w:cs="Arial"/>
          <w:b/>
        </w:rPr>
        <w:t xml:space="preserve"> </w:t>
      </w:r>
      <w:proofErr w:type="spellStart"/>
      <w:r w:rsidRPr="00112E68">
        <w:rPr>
          <w:rFonts w:ascii="Arial" w:hAnsi="Arial" w:cs="Arial"/>
          <w:b/>
        </w:rPr>
        <w:t>den</w:t>
      </w:r>
      <w:proofErr w:type="spellEnd"/>
      <w:r w:rsidRPr="00112E68">
        <w:rPr>
          <w:rFonts w:ascii="Arial" w:hAnsi="Arial" w:cs="Arial"/>
          <w:b/>
        </w:rPr>
        <w:t xml:space="preserve"> </w:t>
      </w:r>
      <w:proofErr w:type="spellStart"/>
      <w:r w:rsidRPr="00112E68">
        <w:rPr>
          <w:rFonts w:ascii="Arial" w:hAnsi="Arial" w:cs="Arial"/>
          <w:b/>
        </w:rPr>
        <w:t>German</w:t>
      </w:r>
      <w:proofErr w:type="spellEnd"/>
      <w:r w:rsidRPr="00112E68">
        <w:rPr>
          <w:rFonts w:ascii="Arial" w:hAnsi="Arial" w:cs="Arial"/>
          <w:b/>
        </w:rPr>
        <w:t xml:space="preserve"> </w:t>
      </w:r>
      <w:proofErr w:type="spellStart"/>
      <w:r w:rsidRPr="00112E68">
        <w:rPr>
          <w:rFonts w:ascii="Arial" w:hAnsi="Arial" w:cs="Arial"/>
          <w:b/>
        </w:rPr>
        <w:t>Innovation</w:t>
      </w:r>
      <w:proofErr w:type="spellEnd"/>
      <w:r w:rsidRPr="00112E68">
        <w:rPr>
          <w:rFonts w:ascii="Arial" w:hAnsi="Arial" w:cs="Arial"/>
          <w:b/>
        </w:rPr>
        <w:t xml:space="preserve"> Award 2020 </w:t>
      </w:r>
      <w:proofErr w:type="spellStart"/>
      <w:r w:rsidRPr="00112E68">
        <w:rPr>
          <w:rFonts w:ascii="Arial" w:hAnsi="Arial" w:cs="Arial"/>
          <w:b/>
        </w:rPr>
        <w:t>für</w:t>
      </w:r>
      <w:proofErr w:type="spellEnd"/>
      <w:r w:rsidRPr="00112E68">
        <w:rPr>
          <w:rFonts w:ascii="Arial" w:hAnsi="Arial" w:cs="Arial"/>
          <w:b/>
        </w:rPr>
        <w:t xml:space="preserve"> </w:t>
      </w:r>
      <w:proofErr w:type="spellStart"/>
      <w:r w:rsidRPr="00112E68">
        <w:rPr>
          <w:rFonts w:ascii="Arial" w:hAnsi="Arial" w:cs="Arial"/>
          <w:b/>
        </w:rPr>
        <w:t>Künstliche</w:t>
      </w:r>
      <w:proofErr w:type="spellEnd"/>
      <w:r w:rsidRPr="00112E68">
        <w:rPr>
          <w:rFonts w:ascii="Arial" w:hAnsi="Arial" w:cs="Arial"/>
          <w:b/>
        </w:rPr>
        <w:t xml:space="preserve"> </w:t>
      </w:r>
      <w:proofErr w:type="spellStart"/>
      <w:r w:rsidRPr="00112E68">
        <w:rPr>
          <w:rFonts w:ascii="Arial" w:hAnsi="Arial" w:cs="Arial"/>
          <w:b/>
        </w:rPr>
        <w:t>Intelligenz</w:t>
      </w:r>
      <w:proofErr w:type="spellEnd"/>
      <w:r w:rsidRPr="00112E68">
        <w:rPr>
          <w:rFonts w:ascii="Arial" w:hAnsi="Arial" w:cs="Arial"/>
          <w:b/>
        </w:rPr>
        <w:t xml:space="preserve"> </w:t>
      </w:r>
      <w:proofErr w:type="spellStart"/>
      <w:r w:rsidRPr="00112E68">
        <w:rPr>
          <w:rFonts w:ascii="Arial" w:hAnsi="Arial" w:cs="Arial"/>
          <w:b/>
        </w:rPr>
        <w:t>im</w:t>
      </w:r>
      <w:proofErr w:type="spellEnd"/>
      <w:r w:rsidRPr="00112E68">
        <w:rPr>
          <w:rFonts w:ascii="Arial" w:hAnsi="Arial" w:cs="Arial"/>
          <w:b/>
        </w:rPr>
        <w:t xml:space="preserve"> Sport</w:t>
      </w:r>
    </w:p>
    <w:p w:rsidR="00E9217B" w:rsidRPr="00112E68" w:rsidRDefault="00E9217B" w:rsidP="00E9217B">
      <w:pPr>
        <w:pStyle w:val="Default"/>
        <w:jc w:val="both"/>
        <w:rPr>
          <w:rFonts w:ascii="Arial" w:hAnsi="Arial" w:cs="Arial"/>
          <w:b/>
          <w:sz w:val="20"/>
          <w:lang w:val="de-DE"/>
        </w:rPr>
      </w:pPr>
    </w:p>
    <w:p w:rsidR="00E9217B" w:rsidRDefault="00E9217B" w:rsidP="00E9217B">
      <w:pPr>
        <w:pStyle w:val="Default"/>
        <w:jc w:val="both"/>
        <w:rPr>
          <w:rFonts w:ascii="Arial" w:hAnsi="Arial" w:cs="Arial"/>
          <w:sz w:val="20"/>
          <w:lang w:val="de-DE"/>
        </w:rPr>
      </w:pPr>
      <w:r w:rsidRPr="0082069F">
        <w:rPr>
          <w:rFonts w:ascii="Arial" w:hAnsi="Arial" w:cs="Arial"/>
          <w:b/>
          <w:sz w:val="20"/>
          <w:lang w:val="de-DE"/>
        </w:rPr>
        <w:t>München</w:t>
      </w:r>
      <w:r>
        <w:rPr>
          <w:rFonts w:ascii="Arial" w:hAnsi="Arial" w:cs="Arial"/>
          <w:b/>
          <w:sz w:val="20"/>
          <w:lang w:val="de-DE"/>
        </w:rPr>
        <w:t>,</w:t>
      </w:r>
      <w:r w:rsidRPr="0082069F">
        <w:rPr>
          <w:rFonts w:ascii="Arial" w:hAnsi="Arial" w:cs="Arial"/>
          <w:b/>
          <w:sz w:val="20"/>
          <w:lang w:val="de-DE"/>
        </w:rPr>
        <w:t xml:space="preserve"> </w:t>
      </w:r>
      <w:r>
        <w:rPr>
          <w:rFonts w:ascii="Arial" w:hAnsi="Arial" w:cs="Arial"/>
          <w:b/>
          <w:sz w:val="20"/>
          <w:lang w:val="de-DE"/>
        </w:rPr>
        <w:t>04.</w:t>
      </w:r>
      <w:r w:rsidRPr="0082069F">
        <w:rPr>
          <w:rFonts w:ascii="Arial" w:hAnsi="Arial" w:cs="Arial"/>
          <w:b/>
          <w:sz w:val="20"/>
          <w:lang w:val="de-DE"/>
        </w:rPr>
        <w:t xml:space="preserve"> </w:t>
      </w:r>
      <w:r>
        <w:rPr>
          <w:rFonts w:ascii="Arial" w:hAnsi="Arial" w:cs="Arial"/>
          <w:b/>
          <w:sz w:val="20"/>
          <w:lang w:val="de-DE"/>
        </w:rPr>
        <w:t>Juni</w:t>
      </w:r>
      <w:r w:rsidRPr="0082069F">
        <w:rPr>
          <w:rFonts w:ascii="Arial" w:hAnsi="Arial" w:cs="Arial"/>
          <w:b/>
          <w:sz w:val="20"/>
          <w:lang w:val="de-DE"/>
        </w:rPr>
        <w:t xml:space="preserve"> 20</w:t>
      </w:r>
      <w:r>
        <w:rPr>
          <w:rFonts w:ascii="Arial" w:hAnsi="Arial" w:cs="Arial"/>
          <w:b/>
          <w:sz w:val="20"/>
          <w:lang w:val="de-DE"/>
        </w:rPr>
        <w:t>20</w:t>
      </w:r>
      <w:r w:rsidRPr="0082069F">
        <w:rPr>
          <w:rFonts w:ascii="Arial" w:hAnsi="Arial" w:cs="Arial"/>
          <w:sz w:val="20"/>
          <w:lang w:val="de-DE"/>
        </w:rPr>
        <w:t xml:space="preserve"> –</w:t>
      </w:r>
      <w:r>
        <w:rPr>
          <w:rFonts w:ascii="Arial" w:hAnsi="Arial" w:cs="Arial"/>
          <w:sz w:val="20"/>
          <w:lang w:val="de-DE"/>
        </w:rPr>
        <w:t xml:space="preserve"> </w:t>
      </w:r>
      <w:r w:rsidRPr="00FA641C">
        <w:rPr>
          <w:rFonts w:ascii="Arial" w:hAnsi="Arial" w:cs="Arial"/>
          <w:sz w:val="20"/>
          <w:lang w:val="de-DE"/>
        </w:rPr>
        <w:t xml:space="preserve">NTT </w:t>
      </w:r>
      <w:r>
        <w:rPr>
          <w:rFonts w:ascii="Arial" w:hAnsi="Arial" w:cs="Arial"/>
          <w:sz w:val="20"/>
          <w:lang w:val="de-DE"/>
        </w:rPr>
        <w:t>DATA</w:t>
      </w:r>
      <w:r w:rsidRPr="00FA641C">
        <w:rPr>
          <w:rFonts w:ascii="Arial" w:hAnsi="Arial" w:cs="Arial"/>
          <w:sz w:val="20"/>
          <w:lang w:val="de-DE"/>
        </w:rPr>
        <w:t xml:space="preserve"> gehört zu den diesjährigen Preisträgern des German Innovation Award. Die Auszeichnung</w:t>
      </w:r>
      <w:r>
        <w:rPr>
          <w:rFonts w:ascii="Arial" w:hAnsi="Arial" w:cs="Arial"/>
          <w:sz w:val="20"/>
          <w:lang w:val="de-DE"/>
        </w:rPr>
        <w:t xml:space="preserve"> als Winner</w:t>
      </w:r>
      <w:r w:rsidRPr="00FA641C">
        <w:rPr>
          <w:rFonts w:ascii="Arial" w:hAnsi="Arial" w:cs="Arial"/>
          <w:sz w:val="20"/>
          <w:lang w:val="de-DE"/>
        </w:rPr>
        <w:t xml:space="preserve"> für herausragende Innovationsleistung geht an den führenden Anbieter von Business- und IT-Lösungen in der Kategorie „Excellence in Business </w:t>
      </w:r>
      <w:proofErr w:type="spellStart"/>
      <w:r w:rsidRPr="00FA641C">
        <w:rPr>
          <w:rFonts w:ascii="Arial" w:hAnsi="Arial" w:cs="Arial"/>
          <w:sz w:val="20"/>
          <w:lang w:val="de-DE"/>
        </w:rPr>
        <w:t>to</w:t>
      </w:r>
      <w:proofErr w:type="spellEnd"/>
      <w:r w:rsidRPr="00FA641C">
        <w:rPr>
          <w:rFonts w:ascii="Arial" w:hAnsi="Arial" w:cs="Arial"/>
          <w:sz w:val="20"/>
          <w:lang w:val="de-DE"/>
        </w:rPr>
        <w:t xml:space="preserve"> Consumer – Travel, Sports &amp; Outdoor </w:t>
      </w:r>
      <w:proofErr w:type="spellStart"/>
      <w:r w:rsidRPr="00FA641C">
        <w:rPr>
          <w:rFonts w:ascii="Arial" w:hAnsi="Arial" w:cs="Arial"/>
          <w:sz w:val="20"/>
          <w:lang w:val="de-DE"/>
        </w:rPr>
        <w:t>Goods</w:t>
      </w:r>
      <w:proofErr w:type="spellEnd"/>
      <w:r w:rsidRPr="00FA641C">
        <w:rPr>
          <w:rFonts w:ascii="Arial" w:hAnsi="Arial" w:cs="Arial"/>
          <w:sz w:val="20"/>
          <w:lang w:val="de-DE"/>
        </w:rPr>
        <w:t>“ für den innovativen Einsatz Künstlicher Intelligenz im Golfsport: Die NTT DATA Wall bietet den Besuchern des ältesten Golfturniers der Welt The Open ein revolutionäres Zuschauererlebnis mit Live-Updates zu Spielerstatistiken und beeindruckenden 3D-Animationen in Echtzeit</w:t>
      </w:r>
      <w:r>
        <w:rPr>
          <w:rFonts w:ascii="Arial" w:hAnsi="Arial" w:cs="Arial"/>
          <w:sz w:val="20"/>
          <w:lang w:val="de-DE"/>
        </w:rPr>
        <w:t>.</w:t>
      </w:r>
    </w:p>
    <w:p w:rsidR="00E9217B" w:rsidRDefault="00E9217B" w:rsidP="00E9217B">
      <w:pPr>
        <w:pStyle w:val="Default"/>
        <w:jc w:val="both"/>
        <w:rPr>
          <w:rFonts w:ascii="Arial" w:hAnsi="Arial" w:cs="Arial"/>
          <w:sz w:val="20"/>
          <w:lang w:val="de-DE"/>
        </w:rPr>
      </w:pPr>
    </w:p>
    <w:p w:rsidR="00E9217B" w:rsidRDefault="00E9217B" w:rsidP="00E9217B">
      <w:pPr>
        <w:pStyle w:val="Default"/>
        <w:jc w:val="center"/>
        <w:rPr>
          <w:rFonts w:ascii="Arial" w:hAnsi="Arial" w:cs="Arial"/>
          <w:sz w:val="20"/>
          <w:lang w:val="de-DE"/>
        </w:rPr>
      </w:pPr>
      <w:r>
        <w:rPr>
          <w:rFonts w:ascii="Arial" w:hAnsi="Arial" w:cs="Arial"/>
          <w:noProof/>
          <w:sz w:val="20"/>
          <w:lang w:val="de-DE" w:eastAsia="de-DE"/>
        </w:rPr>
        <w:drawing>
          <wp:inline distT="0" distB="0" distL="0" distR="0" wp14:anchorId="0B3A9509" wp14:editId="617422D7">
            <wp:extent cx="1859408" cy="11144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4-NTT-DATA-German-Innovation-Award-Banner.png"/>
                    <pic:cNvPicPr/>
                  </pic:nvPicPr>
                  <pic:blipFill>
                    <a:blip r:embed="rId8">
                      <a:extLst>
                        <a:ext uri="{28A0092B-C50C-407E-A947-70E740481C1C}">
                          <a14:useLocalDpi xmlns:a14="http://schemas.microsoft.com/office/drawing/2010/main" val="0"/>
                        </a:ext>
                      </a:extLst>
                    </a:blip>
                    <a:stretch>
                      <a:fillRect/>
                    </a:stretch>
                  </pic:blipFill>
                  <pic:spPr>
                    <a:xfrm>
                      <a:off x="0" y="0"/>
                      <a:ext cx="1875451" cy="1124080"/>
                    </a:xfrm>
                    <a:prstGeom prst="rect">
                      <a:avLst/>
                    </a:prstGeom>
                  </pic:spPr>
                </pic:pic>
              </a:graphicData>
            </a:graphic>
          </wp:inline>
        </w:drawing>
      </w:r>
    </w:p>
    <w:p w:rsidR="00E9217B" w:rsidRDefault="00E9217B" w:rsidP="00E9217B">
      <w:pPr>
        <w:pStyle w:val="Default"/>
        <w:jc w:val="both"/>
        <w:rPr>
          <w:rFonts w:ascii="Arial" w:hAnsi="Arial" w:cs="Arial"/>
          <w:sz w:val="20"/>
          <w:lang w:val="de-DE"/>
        </w:rPr>
      </w:pPr>
    </w:p>
    <w:p w:rsidR="00E9217B" w:rsidRDefault="00E9217B" w:rsidP="00E9217B">
      <w:pPr>
        <w:pStyle w:val="Default"/>
        <w:jc w:val="both"/>
        <w:rPr>
          <w:rFonts w:ascii="Arial" w:hAnsi="Arial" w:cs="Arial"/>
          <w:sz w:val="20"/>
          <w:lang w:val="de-DE"/>
        </w:rPr>
      </w:pPr>
    </w:p>
    <w:p w:rsidR="00E9217B" w:rsidRDefault="00E9217B" w:rsidP="00E9217B">
      <w:pPr>
        <w:pStyle w:val="Default"/>
        <w:keepNext/>
        <w:jc w:val="center"/>
      </w:pPr>
      <w:r w:rsidRPr="00666A67">
        <w:rPr>
          <w:rFonts w:ascii="Arial" w:hAnsi="Arial" w:cs="Arial"/>
          <w:noProof/>
          <w:sz w:val="20"/>
          <w:lang w:val="de-DE" w:eastAsia="de-DE"/>
        </w:rPr>
        <w:drawing>
          <wp:inline distT="0" distB="0" distL="0" distR="0" wp14:anchorId="3F698CE0" wp14:editId="4F4E4BC9">
            <wp:extent cx="3748294" cy="2406277"/>
            <wp:effectExtent l="0" t="0" r="5080" b="0"/>
            <wp:docPr id="2" name="Grafik 2" descr="N:\Marketing_Communications\_Intern\UNTERNEHMENSKOMMUNIKATION\Public Relations\Pressemitteilungen-News\NTT DATA\2020\2020-05-CN-German-Innovation-Award-2020\Fotos\2020-06-04-NTT-DATA-German-Innovation-Award-Spielerd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_Communications\_Intern\UNTERNEHMENSKOMMUNIKATION\Public Relations\Pressemitteilungen-News\NTT DATA\2020\2020-05-CN-German-Innovation-Award-2020\Fotos\2020-06-04-NTT-DATA-German-Innovation-Award-Spielerdaten.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754682" cy="2410378"/>
                    </a:xfrm>
                    <a:prstGeom prst="rect">
                      <a:avLst/>
                    </a:prstGeom>
                    <a:noFill/>
                    <a:ln>
                      <a:noFill/>
                    </a:ln>
                  </pic:spPr>
                </pic:pic>
              </a:graphicData>
            </a:graphic>
          </wp:inline>
        </w:drawing>
      </w:r>
    </w:p>
    <w:p w:rsidR="00E9217B" w:rsidRPr="00666A67" w:rsidRDefault="00E9217B" w:rsidP="00E9217B">
      <w:pPr>
        <w:pStyle w:val="Beschriftung"/>
        <w:jc w:val="center"/>
        <w:rPr>
          <w:rFonts w:cs="Arial"/>
          <w:sz w:val="20"/>
          <w:lang w:val="de-DE"/>
        </w:rPr>
      </w:pPr>
      <w:r w:rsidRPr="00666A67">
        <w:rPr>
          <w:lang w:val="de-DE"/>
        </w:rPr>
        <w:t xml:space="preserve">Abbildung </w:t>
      </w:r>
      <w:r>
        <w:fldChar w:fldCharType="begin"/>
      </w:r>
      <w:r w:rsidRPr="00666A67">
        <w:rPr>
          <w:lang w:val="de-DE"/>
        </w:rPr>
        <w:instrText xml:space="preserve"> SEQ Abbildung \* ARABIC </w:instrText>
      </w:r>
      <w:r>
        <w:fldChar w:fldCharType="separate"/>
      </w:r>
      <w:r>
        <w:rPr>
          <w:noProof/>
          <w:lang w:val="de-DE"/>
        </w:rPr>
        <w:t>1</w:t>
      </w:r>
      <w:r>
        <w:fldChar w:fldCharType="end"/>
      </w:r>
      <w:r w:rsidRPr="00666A67">
        <w:rPr>
          <w:lang w:val="de-DE"/>
        </w:rPr>
        <w:t xml:space="preserve"> NTT DATA - The Open: Spielerdatenanalyse</w:t>
      </w:r>
    </w:p>
    <w:p w:rsidR="00E9217B" w:rsidRPr="00FA641C" w:rsidRDefault="00E9217B" w:rsidP="00E9217B">
      <w:pPr>
        <w:pStyle w:val="Default"/>
        <w:jc w:val="both"/>
        <w:rPr>
          <w:rFonts w:ascii="Arial" w:hAnsi="Arial" w:cs="Arial"/>
          <w:sz w:val="20"/>
          <w:lang w:val="de-DE"/>
        </w:rPr>
      </w:pPr>
    </w:p>
    <w:p w:rsidR="00E9217B" w:rsidRDefault="00E9217B" w:rsidP="00E9217B">
      <w:pPr>
        <w:pStyle w:val="Default"/>
        <w:jc w:val="both"/>
        <w:rPr>
          <w:rFonts w:ascii="Arial" w:hAnsi="Arial" w:cs="Arial"/>
          <w:sz w:val="20"/>
          <w:lang w:val="de-DE"/>
        </w:rPr>
      </w:pPr>
      <w:r w:rsidRPr="00FA641C">
        <w:rPr>
          <w:rFonts w:ascii="Arial" w:hAnsi="Arial" w:cs="Arial"/>
          <w:sz w:val="20"/>
          <w:lang w:val="de-DE"/>
        </w:rPr>
        <w:t>Beim Golfturnier The Open, deren Hauptsponsor NTT DATA ist, kommen jedes Jahr die besten Golfspieler der Welt zusammen, um auf den schönsten Plätzen der britischen Insel ihre Fähigkeiten zu messen. Im Jahr 2019 kehrte das Turnier nach 68 Jahren erstmals nach Nord-Irland zum Golfplatz Ro</w:t>
      </w:r>
      <w:r>
        <w:rPr>
          <w:rFonts w:ascii="Arial" w:hAnsi="Arial" w:cs="Arial"/>
          <w:sz w:val="20"/>
          <w:lang w:val="de-DE"/>
        </w:rPr>
        <w:t>y</w:t>
      </w:r>
      <w:r w:rsidRPr="00FA641C">
        <w:rPr>
          <w:rFonts w:ascii="Arial" w:hAnsi="Arial" w:cs="Arial"/>
          <w:sz w:val="20"/>
          <w:lang w:val="de-DE"/>
        </w:rPr>
        <w:t xml:space="preserve">al </w:t>
      </w:r>
      <w:proofErr w:type="spellStart"/>
      <w:r w:rsidRPr="00FA641C">
        <w:rPr>
          <w:rFonts w:ascii="Arial" w:hAnsi="Arial" w:cs="Arial"/>
          <w:sz w:val="20"/>
          <w:lang w:val="de-DE"/>
        </w:rPr>
        <w:t>Portrush</w:t>
      </w:r>
      <w:proofErr w:type="spellEnd"/>
      <w:r w:rsidRPr="00FA641C">
        <w:rPr>
          <w:rFonts w:ascii="Arial" w:hAnsi="Arial" w:cs="Arial"/>
          <w:sz w:val="20"/>
          <w:lang w:val="de-DE"/>
        </w:rPr>
        <w:t xml:space="preserve"> zurück – und beeindruckte Spieler und Besucher </w:t>
      </w:r>
      <w:r>
        <w:rPr>
          <w:rFonts w:ascii="Arial" w:hAnsi="Arial" w:cs="Arial"/>
          <w:sz w:val="20"/>
          <w:lang w:val="de-DE"/>
        </w:rPr>
        <w:t xml:space="preserve">mit </w:t>
      </w:r>
      <w:r w:rsidRPr="00FA641C">
        <w:rPr>
          <w:rFonts w:ascii="Arial" w:hAnsi="Arial" w:cs="Arial"/>
          <w:sz w:val="20"/>
          <w:lang w:val="de-DE"/>
        </w:rPr>
        <w:t xml:space="preserve">der NTT DATA Wall im </w:t>
      </w:r>
      <w:proofErr w:type="spellStart"/>
      <w:r w:rsidRPr="00FA641C">
        <w:rPr>
          <w:rFonts w:ascii="Arial" w:hAnsi="Arial" w:cs="Arial"/>
          <w:sz w:val="20"/>
          <w:lang w:val="de-DE"/>
        </w:rPr>
        <w:t>Spectator</w:t>
      </w:r>
      <w:proofErr w:type="spellEnd"/>
      <w:r w:rsidRPr="00FA641C">
        <w:rPr>
          <w:rFonts w:ascii="Arial" w:hAnsi="Arial" w:cs="Arial"/>
          <w:sz w:val="20"/>
          <w:lang w:val="de-DE"/>
        </w:rPr>
        <w:t xml:space="preserve"> </w:t>
      </w:r>
      <w:proofErr w:type="spellStart"/>
      <w:r w:rsidRPr="00FA641C">
        <w:rPr>
          <w:rFonts w:ascii="Arial" w:hAnsi="Arial" w:cs="Arial"/>
          <w:sz w:val="20"/>
          <w:lang w:val="de-DE"/>
        </w:rPr>
        <w:t>Village</w:t>
      </w:r>
      <w:proofErr w:type="spellEnd"/>
      <w:r w:rsidRPr="00FA641C">
        <w:rPr>
          <w:rFonts w:ascii="Arial" w:hAnsi="Arial" w:cs="Arial"/>
          <w:sz w:val="20"/>
          <w:lang w:val="de-DE"/>
        </w:rPr>
        <w:t xml:space="preserve">, die den Zuschauern mithilfe Künstlicher Intelligenz visuelle Berichterstattung und Spielanalyse in bisher unbekannter Qualität liefert. Eine </w:t>
      </w:r>
      <w:r>
        <w:rPr>
          <w:rFonts w:ascii="Arial" w:hAnsi="Arial" w:cs="Arial"/>
          <w:sz w:val="20"/>
          <w:lang w:val="de-DE"/>
        </w:rPr>
        <w:t>zukunftsträchtige</w:t>
      </w:r>
      <w:r w:rsidRPr="00FA641C">
        <w:rPr>
          <w:rFonts w:ascii="Arial" w:hAnsi="Arial" w:cs="Arial"/>
          <w:sz w:val="20"/>
          <w:lang w:val="de-DE"/>
        </w:rPr>
        <w:t xml:space="preserve"> Lösung</w:t>
      </w:r>
      <w:r>
        <w:rPr>
          <w:rFonts w:ascii="Arial" w:hAnsi="Arial" w:cs="Arial"/>
          <w:sz w:val="20"/>
          <w:lang w:val="de-DE"/>
        </w:rPr>
        <w:t xml:space="preserve"> für Sportveranstalter und Medienunternehmen</w:t>
      </w:r>
      <w:r w:rsidRPr="00FA641C">
        <w:rPr>
          <w:rFonts w:ascii="Arial" w:hAnsi="Arial" w:cs="Arial"/>
          <w:sz w:val="20"/>
          <w:lang w:val="de-DE"/>
        </w:rPr>
        <w:t xml:space="preserve">, denn mit bis zu 70 Spielern auf dem Parcours ist es hochaufwendig, in Echtzeit zu verfolgen, welcher Spieler gerade einen </w:t>
      </w:r>
      <w:proofErr w:type="spellStart"/>
      <w:r w:rsidRPr="00FA641C">
        <w:rPr>
          <w:rFonts w:ascii="Arial" w:hAnsi="Arial" w:cs="Arial"/>
          <w:sz w:val="20"/>
          <w:lang w:val="de-DE"/>
        </w:rPr>
        <w:t>Birdie</w:t>
      </w:r>
      <w:proofErr w:type="spellEnd"/>
      <w:r w:rsidRPr="00FA641C">
        <w:rPr>
          <w:rFonts w:ascii="Arial" w:hAnsi="Arial" w:cs="Arial"/>
          <w:sz w:val="20"/>
          <w:lang w:val="de-DE"/>
        </w:rPr>
        <w:t xml:space="preserve"> spielt, unter Par bleibt oder sich aus dem </w:t>
      </w:r>
      <w:proofErr w:type="spellStart"/>
      <w:r w:rsidRPr="00FA641C">
        <w:rPr>
          <w:rFonts w:ascii="Arial" w:hAnsi="Arial" w:cs="Arial"/>
          <w:sz w:val="20"/>
          <w:lang w:val="de-DE"/>
        </w:rPr>
        <w:t>Rough</w:t>
      </w:r>
      <w:proofErr w:type="spellEnd"/>
      <w:r w:rsidRPr="00FA641C">
        <w:rPr>
          <w:rFonts w:ascii="Arial" w:hAnsi="Arial" w:cs="Arial"/>
          <w:sz w:val="20"/>
          <w:lang w:val="de-DE"/>
        </w:rPr>
        <w:t xml:space="preserve"> freikämpfen muss – und zu entscheiden, welches Bild den Zuschauern live übertragen wird.</w:t>
      </w:r>
    </w:p>
    <w:p w:rsidR="00E9217B" w:rsidRPr="00FA641C" w:rsidRDefault="00E9217B" w:rsidP="00E9217B">
      <w:pPr>
        <w:pStyle w:val="Default"/>
        <w:jc w:val="both"/>
        <w:rPr>
          <w:rFonts w:ascii="Arial" w:hAnsi="Arial" w:cs="Arial"/>
          <w:sz w:val="20"/>
          <w:lang w:val="de-DE"/>
        </w:rPr>
      </w:pPr>
    </w:p>
    <w:p w:rsidR="00E9217B" w:rsidRDefault="00E9217B" w:rsidP="00E9217B">
      <w:pPr>
        <w:pStyle w:val="Default"/>
        <w:jc w:val="both"/>
        <w:rPr>
          <w:rFonts w:ascii="Arial" w:hAnsi="Arial" w:cs="Arial"/>
          <w:sz w:val="20"/>
          <w:lang w:val="de-DE"/>
        </w:rPr>
      </w:pPr>
      <w:r w:rsidRPr="00FA641C">
        <w:rPr>
          <w:rFonts w:ascii="Arial" w:hAnsi="Arial" w:cs="Arial"/>
          <w:sz w:val="20"/>
          <w:lang w:val="de-DE"/>
        </w:rPr>
        <w:t xml:space="preserve">Die KI-Technologien der NTT DATA Wall analysieren Mimik und Körperhaltung der Spieler wie auch die Echtzeit-Fan-Reaktionen. Innerhalb von 0,5 Sekunden entsteht daraus das beste Bild zum aktuellen Geschehen für die Fans, angereichert um </w:t>
      </w:r>
      <w:r>
        <w:rPr>
          <w:rFonts w:ascii="Arial" w:hAnsi="Arial" w:cs="Arial"/>
          <w:sz w:val="20"/>
          <w:lang w:val="de-DE"/>
        </w:rPr>
        <w:t>umfangreiche</w:t>
      </w:r>
      <w:r w:rsidRPr="00FA641C">
        <w:rPr>
          <w:rFonts w:ascii="Arial" w:hAnsi="Arial" w:cs="Arial"/>
          <w:sz w:val="20"/>
          <w:lang w:val="de-DE"/>
        </w:rPr>
        <w:t xml:space="preserve"> Auswertungen. Über 2,7 Milliarden Datenpunkte werden bei</w:t>
      </w:r>
      <w:r>
        <w:rPr>
          <w:rFonts w:ascii="Arial" w:hAnsi="Arial" w:cs="Arial"/>
          <w:sz w:val="20"/>
          <w:lang w:val="de-DE"/>
        </w:rPr>
        <w:t xml:space="preserve"> The Open</w:t>
      </w:r>
      <w:r w:rsidRPr="00FA641C">
        <w:rPr>
          <w:rFonts w:ascii="Arial" w:hAnsi="Arial" w:cs="Arial"/>
          <w:sz w:val="20"/>
          <w:lang w:val="de-DE"/>
        </w:rPr>
        <w:t xml:space="preserve"> dabei täglich verarbeitet. Durch Analyse der Körperhaltung der Spieler filtern lernende Algorithmen die entscheidenden Highlights aus der Flut aller zur Verfügung stehenden Live-Kamerabilder und präsentieren sie, ergänzend zur TV-Übertragung, den Zuschauern. So erhalten die Besucher neben den zu jedem Zeitpunkt relevantesten Live-Bildern Zusatzinformationen zum Spielgeschehen, die in dieser Form </w:t>
      </w:r>
      <w:r>
        <w:rPr>
          <w:rFonts w:ascii="Arial" w:hAnsi="Arial" w:cs="Arial"/>
          <w:sz w:val="20"/>
          <w:lang w:val="de-DE"/>
        </w:rPr>
        <w:t>bisher nicht</w:t>
      </w:r>
      <w:r w:rsidRPr="00FA641C">
        <w:rPr>
          <w:rFonts w:ascii="Arial" w:hAnsi="Arial" w:cs="Arial"/>
          <w:sz w:val="20"/>
          <w:lang w:val="de-DE"/>
        </w:rPr>
        <w:t xml:space="preserve"> möglich waren.</w:t>
      </w:r>
    </w:p>
    <w:p w:rsidR="00E9217B" w:rsidRDefault="00E9217B" w:rsidP="00E9217B">
      <w:pPr>
        <w:pStyle w:val="Default"/>
        <w:jc w:val="both"/>
        <w:rPr>
          <w:rFonts w:ascii="Arial" w:hAnsi="Arial" w:cs="Arial"/>
          <w:sz w:val="20"/>
          <w:lang w:val="de-DE"/>
        </w:rPr>
      </w:pPr>
    </w:p>
    <w:p w:rsidR="00E9217B" w:rsidRDefault="00E9217B" w:rsidP="00E9217B">
      <w:pPr>
        <w:pStyle w:val="Default"/>
        <w:keepNext/>
        <w:jc w:val="center"/>
      </w:pPr>
      <w:r>
        <w:rPr>
          <w:rFonts w:ascii="Arial" w:hAnsi="Arial" w:cs="Arial"/>
          <w:noProof/>
          <w:sz w:val="20"/>
          <w:lang w:val="de-DE" w:eastAsia="de-DE"/>
        </w:rPr>
        <w:drawing>
          <wp:inline distT="0" distB="0" distL="0" distR="0">
            <wp:extent cx="3472180" cy="2748915"/>
            <wp:effectExtent l="0" t="0" r="0" b="0"/>
            <wp:docPr id="4" name="Grafik 4" descr="2020-06-04-NTT-DATA-German-Innovation-Award-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6-04-NTT-DATA-German-Innovation-Award-Analy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2180" cy="2748915"/>
                    </a:xfrm>
                    <a:prstGeom prst="rect">
                      <a:avLst/>
                    </a:prstGeom>
                    <a:noFill/>
                    <a:ln>
                      <a:noFill/>
                    </a:ln>
                  </pic:spPr>
                </pic:pic>
              </a:graphicData>
            </a:graphic>
          </wp:inline>
        </w:drawing>
      </w:r>
    </w:p>
    <w:p w:rsidR="00E9217B" w:rsidRDefault="00E9217B" w:rsidP="00E9217B">
      <w:pPr>
        <w:pStyle w:val="Beschriftung"/>
        <w:jc w:val="center"/>
        <w:rPr>
          <w:rFonts w:cs="Arial"/>
          <w:sz w:val="20"/>
          <w:lang w:val="de-DE"/>
        </w:rPr>
      </w:pPr>
      <w:r w:rsidRPr="00666A67">
        <w:rPr>
          <w:lang w:val="de-DE"/>
        </w:rPr>
        <w:t xml:space="preserve">Abbildung </w:t>
      </w:r>
      <w:r>
        <w:fldChar w:fldCharType="begin"/>
      </w:r>
      <w:r w:rsidRPr="00666A67">
        <w:rPr>
          <w:lang w:val="de-DE"/>
        </w:rPr>
        <w:instrText xml:space="preserve"> SEQ Abbildung \* ARABIC </w:instrText>
      </w:r>
      <w:r>
        <w:fldChar w:fldCharType="separate"/>
      </w:r>
      <w:r w:rsidRPr="00666A67">
        <w:rPr>
          <w:noProof/>
          <w:lang w:val="de-DE"/>
        </w:rPr>
        <w:t>2</w:t>
      </w:r>
      <w:r>
        <w:fldChar w:fldCharType="end"/>
      </w:r>
      <w:r w:rsidRPr="00666A67">
        <w:rPr>
          <w:lang w:val="de-DE"/>
        </w:rPr>
        <w:t xml:space="preserve"> NTT DATA - The Open - Analyse durch KI-Technologien und Darstellung in Echtzeit</w:t>
      </w:r>
    </w:p>
    <w:p w:rsidR="00E9217B" w:rsidRPr="00FA641C" w:rsidRDefault="00E9217B" w:rsidP="00E9217B">
      <w:pPr>
        <w:pStyle w:val="Default"/>
        <w:jc w:val="both"/>
        <w:rPr>
          <w:rFonts w:ascii="Arial" w:hAnsi="Arial" w:cs="Arial"/>
          <w:sz w:val="20"/>
          <w:lang w:val="de-DE"/>
        </w:rPr>
      </w:pPr>
    </w:p>
    <w:p w:rsidR="00E9217B" w:rsidRPr="00FA641C" w:rsidRDefault="00E9217B" w:rsidP="00E9217B">
      <w:pPr>
        <w:pStyle w:val="Default"/>
        <w:jc w:val="both"/>
        <w:rPr>
          <w:rFonts w:ascii="Arial" w:hAnsi="Arial" w:cs="Arial"/>
          <w:sz w:val="20"/>
          <w:lang w:val="de-DE"/>
        </w:rPr>
      </w:pPr>
      <w:r w:rsidRPr="00FA641C">
        <w:rPr>
          <w:rFonts w:ascii="Arial" w:hAnsi="Arial" w:cs="Arial"/>
          <w:sz w:val="20"/>
          <w:lang w:val="de-DE"/>
        </w:rPr>
        <w:t>Der German Innovation Award zeichnet branchenübergreifend Produkte und Lösungen aus, die sich vor allem durch Nutzerzentrierung und einen Mehrwert gegenüber bisherigen Lösungen unterscheiden. Die Jury setzt sich zusammen aus unabhängigen, interdisziplinären Experten aus Industrie, Wissenschaft, Institutionen und Finanzwirtschaft. Die Bewertung der Einreichungen erfolgt nach den Kriterien Innovationshöhe, Anwendernutzen und Wirtschaftlichkeit. Die Innovationsstrategie sollte Aspekte wie soziale, ökologische, ökonomische Nachhaltigkeit und den Energie- und Ressourceneinsatz berücksichtigen. Auch Faktoren wie Standort- und Beschäftigungspotenzial, Langlebigkeit, Marktreife, technische Qualität und Funktion, Materialität und Synergieeffekte spielen eine entscheidende Rolle im Jurierungsprozess.</w:t>
      </w:r>
    </w:p>
    <w:p w:rsidR="00E9217B" w:rsidRDefault="00E9217B" w:rsidP="00E9217B">
      <w:pPr>
        <w:pStyle w:val="Default"/>
        <w:jc w:val="both"/>
        <w:rPr>
          <w:rFonts w:ascii="Arial" w:hAnsi="Arial" w:cs="Arial"/>
          <w:sz w:val="20"/>
          <w:lang w:val="de-DE"/>
        </w:rPr>
      </w:pPr>
    </w:p>
    <w:p w:rsidR="00E9217B" w:rsidRDefault="00E9217B" w:rsidP="00E9217B">
      <w:pPr>
        <w:pStyle w:val="Default"/>
        <w:jc w:val="both"/>
        <w:rPr>
          <w:rFonts w:ascii="Arial" w:hAnsi="Arial" w:cs="Arial"/>
          <w:sz w:val="20"/>
          <w:lang w:val="de-DE"/>
        </w:rPr>
      </w:pPr>
      <w:r w:rsidRPr="00FA641C">
        <w:rPr>
          <w:rFonts w:ascii="Arial" w:hAnsi="Arial" w:cs="Arial"/>
          <w:sz w:val="20"/>
          <w:lang w:val="de-DE"/>
        </w:rPr>
        <w:t>Stefan Hansen, CEO von NTT DATA DACH, freut sich über die Auszeich</w:t>
      </w:r>
      <w:r>
        <w:rPr>
          <w:rFonts w:ascii="Arial" w:hAnsi="Arial" w:cs="Arial"/>
          <w:sz w:val="20"/>
          <w:lang w:val="de-DE"/>
        </w:rPr>
        <w:t xml:space="preserve">nung: „Der Award ist eine Ehre und </w:t>
      </w:r>
      <w:r w:rsidRPr="00FA641C">
        <w:rPr>
          <w:rFonts w:ascii="Arial" w:hAnsi="Arial" w:cs="Arial"/>
          <w:sz w:val="20"/>
          <w:lang w:val="de-DE"/>
        </w:rPr>
        <w:t xml:space="preserve">Anspruch und Verpflichtung zugleich. Als </w:t>
      </w:r>
      <w:proofErr w:type="spellStart"/>
      <w:r w:rsidRPr="00FA641C">
        <w:rPr>
          <w:rFonts w:ascii="Arial" w:hAnsi="Arial" w:cs="Arial"/>
          <w:sz w:val="20"/>
          <w:lang w:val="de-DE"/>
        </w:rPr>
        <w:t>Trusted</w:t>
      </w:r>
      <w:proofErr w:type="spellEnd"/>
      <w:r w:rsidRPr="00FA641C">
        <w:rPr>
          <w:rFonts w:ascii="Arial" w:hAnsi="Arial" w:cs="Arial"/>
          <w:sz w:val="20"/>
          <w:lang w:val="de-DE"/>
        </w:rPr>
        <w:t xml:space="preserve"> Global Innovator stehen wir für Technologien, die Unternehmen, aber auch der Gesellschaft nutzen. </w:t>
      </w:r>
      <w:r>
        <w:rPr>
          <w:rFonts w:ascii="Arial" w:hAnsi="Arial" w:cs="Arial"/>
          <w:sz w:val="20"/>
          <w:lang w:val="de-DE"/>
        </w:rPr>
        <w:t>Mit Technologien unterstützen wir digitale Transformation und schaffen zugleich faszinierende und emotionale Anwendungen, mit denen Menschen neue Perspektiven erleben.</w:t>
      </w:r>
      <w:r w:rsidRPr="00FA641C">
        <w:rPr>
          <w:rFonts w:ascii="Arial" w:hAnsi="Arial" w:cs="Arial"/>
          <w:sz w:val="20"/>
          <w:lang w:val="de-DE"/>
        </w:rPr>
        <w:t>“</w:t>
      </w:r>
    </w:p>
    <w:p w:rsidR="00E9217B" w:rsidRDefault="00E9217B" w:rsidP="00E9217B">
      <w:pPr>
        <w:pStyle w:val="Default"/>
        <w:jc w:val="both"/>
        <w:rPr>
          <w:rFonts w:ascii="Arial" w:hAnsi="Arial" w:cs="Arial"/>
          <w:sz w:val="20"/>
          <w:lang w:val="de-DE"/>
        </w:rPr>
      </w:pPr>
    </w:p>
    <w:p w:rsidR="00E9217B" w:rsidRDefault="00E9217B" w:rsidP="00E9217B">
      <w:pPr>
        <w:pStyle w:val="Default"/>
        <w:jc w:val="both"/>
        <w:rPr>
          <w:rFonts w:ascii="Arial" w:hAnsi="Arial" w:cs="Arial"/>
          <w:sz w:val="20"/>
          <w:lang w:val="de-DE"/>
        </w:rPr>
      </w:pPr>
      <w:r>
        <w:rPr>
          <w:rFonts w:ascii="Arial" w:hAnsi="Arial" w:cs="Arial"/>
          <w:sz w:val="20"/>
          <w:lang w:val="de-DE"/>
        </w:rPr>
        <w:t xml:space="preserve">Mehr Informationen zu den neuen digitalen Technologien bei The Open: </w:t>
      </w:r>
      <w:hyperlink r:id="rId11" w:history="1">
        <w:r w:rsidRPr="00C26879">
          <w:rPr>
            <w:rStyle w:val="Hyperlink"/>
            <w:rFonts w:ascii="Arial" w:hAnsi="Arial" w:cs="Arial"/>
            <w:sz w:val="20"/>
            <w:lang w:val="de-DE"/>
          </w:rPr>
          <w:t>https://de.nttdata.com/NTT-DATA-bei-The-Open</w:t>
        </w:r>
      </w:hyperlink>
    </w:p>
    <w:p w:rsidR="00E9217B" w:rsidRDefault="00E9217B" w:rsidP="00E9217B">
      <w:pPr>
        <w:pStyle w:val="Default"/>
        <w:jc w:val="both"/>
        <w:rPr>
          <w:rFonts w:ascii="Arial" w:hAnsi="Arial" w:cs="Arial"/>
          <w:sz w:val="20"/>
          <w:lang w:val="de-DE"/>
        </w:rPr>
      </w:pPr>
    </w:p>
    <w:p w:rsidR="00E9217B" w:rsidRPr="00FA641C" w:rsidRDefault="00E9217B" w:rsidP="00E9217B">
      <w:pPr>
        <w:pStyle w:val="Default"/>
        <w:jc w:val="center"/>
        <w:rPr>
          <w:rFonts w:ascii="Arial" w:hAnsi="Arial" w:cs="Arial"/>
          <w:sz w:val="20"/>
          <w:lang w:val="de-DE"/>
        </w:rPr>
      </w:pPr>
    </w:p>
    <w:p w:rsidR="00E9217B" w:rsidRPr="008A290A" w:rsidRDefault="00E9217B" w:rsidP="00E9217B">
      <w:pPr>
        <w:pStyle w:val="StandardWeb"/>
        <w:ind w:right="-1"/>
        <w:jc w:val="both"/>
        <w:rPr>
          <w:rFonts w:ascii="Arial" w:eastAsiaTheme="minorHAnsi" w:hAnsi="Arial" w:cs="Arial"/>
          <w:b/>
          <w:bCs/>
          <w:color w:val="000000" w:themeColor="text1"/>
          <w:sz w:val="20"/>
          <w:szCs w:val="22"/>
          <w:lang w:val="de-DE" w:eastAsia="en-US"/>
        </w:rPr>
      </w:pPr>
      <w:r w:rsidRPr="008A290A">
        <w:rPr>
          <w:rFonts w:ascii="Arial" w:eastAsiaTheme="minorHAnsi" w:hAnsi="Arial" w:cs="Arial"/>
          <w:b/>
          <w:bCs/>
          <w:color w:val="000000" w:themeColor="text1"/>
          <w:sz w:val="20"/>
          <w:szCs w:val="22"/>
          <w:lang w:val="de-DE" w:eastAsia="en-US"/>
        </w:rPr>
        <w:t>Über NTT DATA</w:t>
      </w:r>
    </w:p>
    <w:p w:rsidR="00E9217B" w:rsidRPr="0082069F" w:rsidRDefault="00E9217B" w:rsidP="00E9217B">
      <w:pPr>
        <w:pStyle w:val="StandardWeb"/>
        <w:ind w:right="-1"/>
        <w:jc w:val="both"/>
        <w:rPr>
          <w:rFonts w:ascii="Arial" w:eastAsiaTheme="minorHAnsi" w:hAnsi="Arial" w:cs="Arial"/>
          <w:color w:val="000000" w:themeColor="text1"/>
          <w:sz w:val="20"/>
          <w:szCs w:val="22"/>
          <w:lang w:val="de-DE" w:eastAsia="en-US"/>
        </w:rPr>
      </w:pPr>
      <w:r w:rsidRPr="0082069F">
        <w:rPr>
          <w:rFonts w:ascii="Arial" w:eastAsiaTheme="minorHAnsi" w:hAnsi="Arial" w:cs="Arial"/>
          <w:color w:val="000000" w:themeColor="text1"/>
          <w:sz w:val="20"/>
          <w:szCs w:val="22"/>
          <w:lang w:val="de-DE" w:eastAsia="en-US"/>
        </w:rPr>
        <w:t xml:space="preserve">NTT DATA ist ein führender Anbieter von Business- und IT-Lösungen und globaler Innovationspartner seiner Kunden. Der japanische Konzern mit Hauptsitz in Tokio ist in mehr als 50 Ländern weltweit vertreten. Der Schwerpunkt liegt auf langfristigen Kundenbeziehungen: Dazu kombiniert NTT DATA globale Präsenz mit lokaler Marktkenntnis und bietet erstklassige, professionelle Dienstleistungen von der Beratung und Systementwicklung bis hin zum Outsourcing. Weitere Informationen finden Sie auf </w:t>
      </w:r>
      <w:hyperlink r:id="rId12" w:history="1">
        <w:r w:rsidRPr="0082069F">
          <w:rPr>
            <w:rStyle w:val="Hyperlink"/>
            <w:rFonts w:ascii="Arial" w:eastAsiaTheme="minorHAnsi" w:hAnsi="Arial" w:cs="Arial"/>
            <w:sz w:val="20"/>
            <w:szCs w:val="22"/>
            <w:lang w:val="de-DE" w:eastAsia="en-US"/>
          </w:rPr>
          <w:t>de.nttdata.com</w:t>
        </w:r>
      </w:hyperlink>
      <w:r w:rsidRPr="004C404E">
        <w:rPr>
          <w:rStyle w:val="Hyperlink"/>
          <w:rFonts w:ascii="Arial" w:eastAsiaTheme="minorHAnsi" w:hAnsi="Arial" w:cs="Arial"/>
          <w:color w:val="auto"/>
          <w:sz w:val="20"/>
          <w:szCs w:val="22"/>
          <w:u w:val="none"/>
          <w:lang w:val="de-DE" w:eastAsia="en-US"/>
        </w:rPr>
        <w:t>.</w:t>
      </w:r>
    </w:p>
    <w:p w:rsidR="00E9217B" w:rsidRPr="0082069F" w:rsidRDefault="00E9217B" w:rsidP="00E9217B">
      <w:pPr>
        <w:spacing w:before="0" w:after="200" w:line="276" w:lineRule="auto"/>
        <w:rPr>
          <w:rFonts w:cs="Arial"/>
          <w:b/>
          <w:color w:val="000000" w:themeColor="text1"/>
          <w:lang w:val="de-DE"/>
        </w:rPr>
      </w:pPr>
      <w:r w:rsidRPr="0082069F">
        <w:rPr>
          <w:rFonts w:cs="Arial"/>
          <w:b/>
          <w:color w:val="000000" w:themeColor="text1"/>
          <w:lang w:val="de-DE"/>
        </w:rPr>
        <w:t>Pressekontakt:</w:t>
      </w:r>
    </w:p>
    <w:p w:rsidR="00E9217B" w:rsidRPr="0082069F" w:rsidRDefault="00E9217B" w:rsidP="00E9217B">
      <w:pPr>
        <w:pStyle w:val="StandardWeb"/>
        <w:spacing w:before="0" w:beforeAutospacing="0" w:after="0" w:afterAutospacing="0"/>
        <w:ind w:right="1417"/>
        <w:rPr>
          <w:rFonts w:ascii="Arial" w:eastAsiaTheme="minorHAnsi" w:hAnsi="Arial" w:cs="Arial"/>
          <w:color w:val="000000" w:themeColor="text1"/>
          <w:sz w:val="20"/>
          <w:szCs w:val="22"/>
          <w:lang w:val="de-DE" w:eastAsia="en-US"/>
        </w:rPr>
      </w:pPr>
      <w:r w:rsidRPr="0082069F">
        <w:rPr>
          <w:rFonts w:ascii="Arial" w:eastAsiaTheme="minorHAnsi" w:hAnsi="Arial" w:cs="Arial"/>
          <w:color w:val="000000" w:themeColor="text1"/>
          <w:sz w:val="20"/>
          <w:szCs w:val="22"/>
          <w:lang w:val="de-DE" w:eastAsia="en-US"/>
        </w:rPr>
        <w:t>NTT DATA Deutschland GmbH</w:t>
      </w:r>
    </w:p>
    <w:p w:rsidR="00E9217B" w:rsidRPr="00890FBD" w:rsidRDefault="00E9217B" w:rsidP="00E9217B">
      <w:pPr>
        <w:pStyle w:val="StandardWeb"/>
        <w:spacing w:before="0" w:beforeAutospacing="0" w:after="0" w:afterAutospacing="0"/>
        <w:ind w:right="1417"/>
        <w:rPr>
          <w:rFonts w:ascii="Arial" w:eastAsiaTheme="minorHAnsi" w:hAnsi="Arial" w:cs="Arial"/>
          <w:color w:val="000000" w:themeColor="text1"/>
          <w:sz w:val="20"/>
          <w:szCs w:val="22"/>
          <w:lang w:val="en-US" w:eastAsia="en-US"/>
        </w:rPr>
      </w:pPr>
      <w:r w:rsidRPr="00890FBD">
        <w:rPr>
          <w:rFonts w:ascii="Arial" w:eastAsiaTheme="minorHAnsi" w:hAnsi="Arial" w:cs="Arial"/>
          <w:color w:val="000000" w:themeColor="text1"/>
          <w:sz w:val="20"/>
          <w:szCs w:val="22"/>
          <w:lang w:val="en-US" w:eastAsia="en-US"/>
        </w:rPr>
        <w:t>Katja Friedrich</w:t>
      </w:r>
    </w:p>
    <w:p w:rsidR="00E9217B" w:rsidRPr="00890FBD" w:rsidRDefault="00E9217B" w:rsidP="00E9217B">
      <w:pPr>
        <w:pStyle w:val="StandardWeb"/>
        <w:spacing w:before="0" w:beforeAutospacing="0" w:after="0" w:afterAutospacing="0"/>
        <w:ind w:right="1417"/>
        <w:rPr>
          <w:rFonts w:ascii="Arial" w:eastAsiaTheme="minorHAnsi" w:hAnsi="Arial" w:cs="Arial"/>
          <w:color w:val="000000" w:themeColor="text1"/>
          <w:sz w:val="20"/>
          <w:szCs w:val="22"/>
          <w:lang w:val="en-US" w:eastAsia="en-US"/>
        </w:rPr>
      </w:pPr>
      <w:r w:rsidRPr="00890FBD">
        <w:rPr>
          <w:rFonts w:ascii="Arial" w:eastAsiaTheme="minorHAnsi" w:hAnsi="Arial" w:cs="Arial"/>
          <w:color w:val="000000" w:themeColor="text1"/>
          <w:sz w:val="20"/>
          <w:szCs w:val="22"/>
          <w:lang w:val="en-US" w:eastAsia="en-US"/>
        </w:rPr>
        <w:t>VP, Head of Communications</w:t>
      </w:r>
    </w:p>
    <w:p w:rsidR="00E9217B" w:rsidRPr="0082069F" w:rsidRDefault="00E9217B" w:rsidP="00E9217B">
      <w:pPr>
        <w:pStyle w:val="StandardWeb"/>
        <w:spacing w:before="0" w:beforeAutospacing="0" w:after="0" w:afterAutospacing="0"/>
        <w:ind w:right="1417"/>
        <w:rPr>
          <w:rFonts w:ascii="Arial" w:eastAsiaTheme="minorHAnsi" w:hAnsi="Arial" w:cs="Arial"/>
          <w:color w:val="000000" w:themeColor="text1"/>
          <w:sz w:val="20"/>
          <w:szCs w:val="22"/>
          <w:lang w:val="de-DE" w:eastAsia="en-US"/>
        </w:rPr>
      </w:pPr>
      <w:r w:rsidRPr="0082069F">
        <w:rPr>
          <w:rFonts w:ascii="Arial" w:eastAsiaTheme="minorHAnsi" w:hAnsi="Arial" w:cs="Arial"/>
          <w:color w:val="000000" w:themeColor="text1"/>
          <w:sz w:val="20"/>
          <w:szCs w:val="22"/>
          <w:lang w:val="de-DE" w:eastAsia="en-US"/>
        </w:rPr>
        <w:t>Tel.: +49 7243 570-1349</w:t>
      </w:r>
    </w:p>
    <w:p w:rsidR="00995D6B" w:rsidRPr="00E9217B" w:rsidRDefault="00E9217B" w:rsidP="00E9217B">
      <w:pPr>
        <w:rPr>
          <w:rStyle w:val="Kommentarzeichen"/>
          <w:sz w:val="20"/>
          <w:szCs w:val="22"/>
          <w:lang w:val="de-DE"/>
        </w:rPr>
      </w:pPr>
      <w:r w:rsidRPr="0082069F">
        <w:rPr>
          <w:rFonts w:cs="Arial"/>
          <w:color w:val="000000" w:themeColor="text1"/>
          <w:lang w:val="de-DE"/>
        </w:rPr>
        <w:t>E-Mail: Katja.Friedrich@nttdata.com</w:t>
      </w:r>
    </w:p>
    <w:sectPr w:rsidR="00995D6B" w:rsidRPr="00E9217B">
      <w:headerReference w:type="default" r:id="rId13"/>
      <w:type w:val="continuous"/>
      <w:pgSz w:w="11906" w:h="16838"/>
      <w:pgMar w:top="3969" w:right="226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9A5" w:rsidRDefault="00EF09A5">
      <w:pPr>
        <w:spacing w:before="0" w:after="0"/>
      </w:pPr>
      <w:r>
        <w:separator/>
      </w:r>
    </w:p>
  </w:endnote>
  <w:endnote w:type="continuationSeparator" w:id="0">
    <w:p w:rsidR="00EF09A5" w:rsidRDefault="00EF09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65 Medium">
    <w:altName w:val="Helvetica 65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9A5" w:rsidRDefault="00EF09A5">
      <w:pPr>
        <w:spacing w:before="0" w:after="0"/>
      </w:pPr>
      <w:r>
        <w:separator/>
      </w:r>
    </w:p>
  </w:footnote>
  <w:footnote w:type="continuationSeparator" w:id="0">
    <w:p w:rsidR="00EF09A5" w:rsidRDefault="00EF09A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D6B" w:rsidRDefault="004730BE">
    <w:pPr>
      <w:pStyle w:val="Kopfzeile"/>
      <w:tabs>
        <w:tab w:val="left" w:pos="1560"/>
      </w:tabs>
    </w:pPr>
    <w:r>
      <w:rPr>
        <w:noProof/>
        <w:lang w:val="de-DE" w:eastAsia="de-DE"/>
      </w:rPr>
      <w:drawing>
        <wp:anchor distT="0" distB="0" distL="114300" distR="114300" simplePos="0" relativeHeight="251660800" behindDoc="0" locked="0" layoutInCell="1" allowOverlap="1">
          <wp:simplePos x="0" y="0"/>
          <wp:positionH relativeFrom="page">
            <wp:align>right</wp:align>
          </wp:positionH>
          <wp:positionV relativeFrom="paragraph">
            <wp:posOffset>-438150</wp:posOffset>
          </wp:positionV>
          <wp:extent cx="1633728" cy="588264"/>
          <wp:effectExtent l="0" t="0" r="5080" b="254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Logotype+Tagline_Right_Color_neu_fuer_word.jpg"/>
                  <pic:cNvPicPr/>
                </pic:nvPicPr>
                <pic:blipFill>
                  <a:blip r:embed="rId1">
                    <a:extLst>
                      <a:ext uri="{28A0092B-C50C-407E-A947-70E740481C1C}">
                        <a14:useLocalDpi xmlns:a14="http://schemas.microsoft.com/office/drawing/2010/main" val="0"/>
                      </a:ext>
                    </a:extLst>
                  </a:blip>
                  <a:stretch>
                    <a:fillRect/>
                  </a:stretch>
                </pic:blipFill>
                <pic:spPr>
                  <a:xfrm>
                    <a:off x="0" y="0"/>
                    <a:ext cx="1633728" cy="588264"/>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9776" behindDoc="0" locked="0" layoutInCell="1" allowOverlap="1">
              <wp:simplePos x="0" y="0"/>
              <wp:positionH relativeFrom="column">
                <wp:posOffset>1143000</wp:posOffset>
              </wp:positionH>
              <wp:positionV relativeFrom="paragraph">
                <wp:posOffset>469900</wp:posOffset>
              </wp:positionV>
              <wp:extent cx="4968240" cy="10198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D6B" w:rsidRDefault="004730BE">
                          <w:pPr>
                            <w:jc w:val="right"/>
                            <w:rPr>
                              <w:b/>
                              <w:color w:val="000000" w:themeColor="text1"/>
                              <w:sz w:val="52"/>
                              <w:szCs w:val="52"/>
                              <w:lang w:val="it-IT"/>
                            </w:rPr>
                          </w:pPr>
                          <w:r>
                            <w:rPr>
                              <w:b/>
                              <w:color w:val="000000" w:themeColor="text1"/>
                              <w:sz w:val="52"/>
                              <w:szCs w:val="52"/>
                              <w:lang w:val="it-IT"/>
                            </w:rPr>
                            <w:t>News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0pt;margin-top:37pt;width:391.2pt;height:8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8atA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" filled="f" stroked="f">
              <v:textbox>
                <w:txbxContent>
                  <w:p w:rsidR="00995D6B" w:rsidRDefault="004730BE">
                    <w:pPr>
                      <w:jc w:val="right"/>
                      <w:rPr>
                        <w:b/>
                        <w:color w:val="000000" w:themeColor="text1"/>
                        <w:sz w:val="52"/>
                        <w:szCs w:val="52"/>
                        <w:lang w:val="it-IT"/>
                      </w:rPr>
                    </w:pPr>
                    <w:r>
                      <w:rPr>
                        <w:b/>
                        <w:color w:val="000000" w:themeColor="text1"/>
                        <w:sz w:val="52"/>
                        <w:szCs w:val="52"/>
                        <w:lang w:val="it-IT"/>
                      </w:rPr>
                      <w:t>News</w:t>
                    </w:r>
                  </w:p>
                </w:txbxContent>
              </v:textbox>
            </v:shape>
          </w:pict>
        </mc:Fallback>
      </mc:AlternateContent>
    </w:r>
    <w:r>
      <w:rPr>
        <w:noProof/>
        <w:lang w:val="de-DE" w:eastAsia="de-DE"/>
      </w:rPr>
      <w:drawing>
        <wp:anchor distT="0" distB="0" distL="114300" distR="114300" simplePos="0" relativeHeight="251656704" behindDoc="1" locked="0" layoutInCell="1" allowOverlap="1">
          <wp:simplePos x="0" y="0"/>
          <wp:positionH relativeFrom="column">
            <wp:posOffset>-720090</wp:posOffset>
          </wp:positionH>
          <wp:positionV relativeFrom="paragraph">
            <wp:posOffset>149860</wp:posOffset>
          </wp:positionV>
          <wp:extent cx="847725" cy="2714625"/>
          <wp:effectExtent l="19050" t="0" r="9525" b="0"/>
          <wp:wrapNone/>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r="51099"/>
                  <a:stretch>
                    <a:fillRect/>
                  </a:stretch>
                </pic:blipFill>
                <pic:spPr bwMode="auto">
                  <a:xfrm>
                    <a:off x="0" y="0"/>
                    <a:ext cx="847725" cy="2714625"/>
                  </a:xfrm>
                  <a:prstGeom prst="rect">
                    <a:avLst/>
                  </a:prstGeom>
                  <a:noFill/>
                  <a:ln w="9525">
                    <a:noFill/>
                    <a:miter lim="800000"/>
                    <a:headEnd/>
                    <a:tailEnd/>
                  </a:ln>
                </pic:spPr>
              </pic:pic>
            </a:graphicData>
          </a:graphic>
        </wp:anchor>
      </w:drawing>
    </w:r>
    <w:r>
      <w:rPr>
        <w:noProof/>
        <w:lang w:val="de-DE" w:eastAsia="de-DE"/>
      </w:rPr>
      <mc:AlternateContent>
        <mc:Choice Requires="wps">
          <w:drawing>
            <wp:anchor distT="0" distB="0" distL="114300" distR="114300" simplePos="0" relativeHeight="251657728" behindDoc="0" locked="0" layoutInCell="1" allowOverlap="1">
              <wp:simplePos x="0" y="0"/>
              <wp:positionH relativeFrom="column">
                <wp:posOffset>126365</wp:posOffset>
              </wp:positionH>
              <wp:positionV relativeFrom="paragraph">
                <wp:posOffset>640715</wp:posOffset>
              </wp:positionV>
              <wp:extent cx="6719570" cy="401320"/>
              <wp:effectExtent l="2540" t="2540" r="254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40132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4" o:spid="_x0000_s1026" style="position:absolute;margin-left:9.95pt;margin-top:50.45pt;width:529.1pt;height:3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" fillcolor="#dbe5f1 [660]" stroked="f"/>
          </w:pict>
        </mc:Fallback>
      </mc:AlternateContent>
    </w: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126365</wp:posOffset>
              </wp:positionH>
              <wp:positionV relativeFrom="paragraph">
                <wp:posOffset>210820</wp:posOffset>
              </wp:positionV>
              <wp:extent cx="6719570" cy="436245"/>
              <wp:effectExtent l="2540" t="1270" r="2540" b="6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43624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3" o:spid="_x0000_s1026" style="position:absolute;margin-left:9.95pt;margin-top:16.6pt;width:529.1pt;height:3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" fillcolor="#95b3d7 [194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01C5A"/>
    <w:multiLevelType w:val="hybridMultilevel"/>
    <w:tmpl w:val="6A1E8F5E"/>
    <w:lvl w:ilvl="0" w:tplc="E9BEA88A">
      <w:start w:val="1"/>
      <w:numFmt w:val="decimal"/>
      <w:lvlText w:val="%1."/>
      <w:lvlJc w:val="left"/>
      <w:pPr>
        <w:ind w:left="1920" w:hanging="360"/>
      </w:pPr>
      <w:rPr>
        <w:rFonts w:hint="default"/>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28307607"/>
    <w:multiLevelType w:val="hybridMultilevel"/>
    <w:tmpl w:val="EE189A02"/>
    <w:lvl w:ilvl="0" w:tplc="28BC1E40">
      <w:start w:val="1"/>
      <w:numFmt w:val="decimal"/>
      <w:lvlText w:val="%1."/>
      <w:lvlJc w:val="left"/>
      <w:pPr>
        <w:ind w:left="4330" w:hanging="360"/>
      </w:pPr>
    </w:lvl>
    <w:lvl w:ilvl="1" w:tplc="04100019">
      <w:start w:val="1"/>
      <w:numFmt w:val="lowerLetter"/>
      <w:lvlText w:val="%2."/>
      <w:lvlJc w:val="left"/>
      <w:pPr>
        <w:ind w:left="5050" w:hanging="360"/>
      </w:pPr>
    </w:lvl>
    <w:lvl w:ilvl="2" w:tplc="0410001B">
      <w:start w:val="1"/>
      <w:numFmt w:val="lowerRoman"/>
      <w:lvlText w:val="%3."/>
      <w:lvlJc w:val="right"/>
      <w:pPr>
        <w:ind w:left="5770" w:hanging="180"/>
      </w:pPr>
    </w:lvl>
    <w:lvl w:ilvl="3" w:tplc="0410000F" w:tentative="1">
      <w:start w:val="1"/>
      <w:numFmt w:val="decimal"/>
      <w:lvlText w:val="%4."/>
      <w:lvlJc w:val="left"/>
      <w:pPr>
        <w:ind w:left="6490" w:hanging="360"/>
      </w:pPr>
    </w:lvl>
    <w:lvl w:ilvl="4" w:tplc="04100019" w:tentative="1">
      <w:start w:val="1"/>
      <w:numFmt w:val="lowerLetter"/>
      <w:lvlText w:val="%5."/>
      <w:lvlJc w:val="left"/>
      <w:pPr>
        <w:ind w:left="7210" w:hanging="360"/>
      </w:pPr>
    </w:lvl>
    <w:lvl w:ilvl="5" w:tplc="0410001B" w:tentative="1">
      <w:start w:val="1"/>
      <w:numFmt w:val="lowerRoman"/>
      <w:lvlText w:val="%6."/>
      <w:lvlJc w:val="right"/>
      <w:pPr>
        <w:ind w:left="7930" w:hanging="180"/>
      </w:pPr>
    </w:lvl>
    <w:lvl w:ilvl="6" w:tplc="0410000F" w:tentative="1">
      <w:start w:val="1"/>
      <w:numFmt w:val="decimal"/>
      <w:lvlText w:val="%7."/>
      <w:lvlJc w:val="left"/>
      <w:pPr>
        <w:ind w:left="8650" w:hanging="360"/>
      </w:pPr>
    </w:lvl>
    <w:lvl w:ilvl="7" w:tplc="04100019" w:tentative="1">
      <w:start w:val="1"/>
      <w:numFmt w:val="lowerLetter"/>
      <w:lvlText w:val="%8."/>
      <w:lvlJc w:val="left"/>
      <w:pPr>
        <w:ind w:left="9370" w:hanging="360"/>
      </w:pPr>
    </w:lvl>
    <w:lvl w:ilvl="8" w:tplc="0410001B" w:tentative="1">
      <w:start w:val="1"/>
      <w:numFmt w:val="lowerRoman"/>
      <w:lvlText w:val="%9."/>
      <w:lvlJc w:val="right"/>
      <w:pPr>
        <w:ind w:left="10090" w:hanging="180"/>
      </w:pPr>
    </w:lvl>
  </w:abstractNum>
  <w:abstractNum w:abstractNumId="2" w15:restartNumberingAfterBreak="0">
    <w:nsid w:val="36CA2129"/>
    <w:multiLevelType w:val="hybridMultilevel"/>
    <w:tmpl w:val="8CF63CDC"/>
    <w:lvl w:ilvl="0" w:tplc="403CC7E0">
      <w:start w:val="18"/>
      <w:numFmt w:val="bullet"/>
      <w:lvlText w:val=""/>
      <w:lvlJc w:val="left"/>
      <w:pPr>
        <w:ind w:left="1920" w:hanging="360"/>
      </w:pPr>
      <w:rPr>
        <w:rFonts w:ascii="Symbol" w:eastAsiaTheme="minorHAnsi" w:hAnsi="Symbol" w:cs="Arial"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3" w15:restartNumberingAfterBreak="0">
    <w:nsid w:val="37CC44A9"/>
    <w:multiLevelType w:val="hybridMultilevel"/>
    <w:tmpl w:val="6EB0D3D2"/>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4" w15:restartNumberingAfterBreak="0">
    <w:nsid w:val="47BB1D64"/>
    <w:multiLevelType w:val="hybridMultilevel"/>
    <w:tmpl w:val="2B886CAE"/>
    <w:lvl w:ilvl="0" w:tplc="5C1629D4">
      <w:start w:val="23"/>
      <w:numFmt w:val="bullet"/>
      <w:lvlText w:val="-"/>
      <w:lvlJc w:val="left"/>
      <w:pPr>
        <w:ind w:left="1920" w:hanging="360"/>
      </w:pPr>
      <w:rPr>
        <w:rFonts w:ascii="Arial" w:eastAsiaTheme="minorHAnsi" w:hAnsi="Arial"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 w15:restartNumberingAfterBreak="0">
    <w:nsid w:val="4B110590"/>
    <w:multiLevelType w:val="hybridMultilevel"/>
    <w:tmpl w:val="0B2E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4C574F"/>
    <w:multiLevelType w:val="hybridMultilevel"/>
    <w:tmpl w:val="50BCA132"/>
    <w:lvl w:ilvl="0" w:tplc="0410000F">
      <w:start w:val="1"/>
      <w:numFmt w:val="decimal"/>
      <w:lvlText w:val="%1."/>
      <w:lvlJc w:val="left"/>
      <w:pPr>
        <w:ind w:left="4472" w:hanging="360"/>
      </w:pPr>
    </w:lvl>
    <w:lvl w:ilvl="1" w:tplc="04100019" w:tentative="1">
      <w:start w:val="1"/>
      <w:numFmt w:val="lowerLetter"/>
      <w:lvlText w:val="%2."/>
      <w:lvlJc w:val="left"/>
      <w:pPr>
        <w:ind w:left="5192" w:hanging="360"/>
      </w:pPr>
    </w:lvl>
    <w:lvl w:ilvl="2" w:tplc="0410001B" w:tentative="1">
      <w:start w:val="1"/>
      <w:numFmt w:val="lowerRoman"/>
      <w:lvlText w:val="%3."/>
      <w:lvlJc w:val="right"/>
      <w:pPr>
        <w:ind w:left="5912" w:hanging="180"/>
      </w:pPr>
    </w:lvl>
    <w:lvl w:ilvl="3" w:tplc="0410000F" w:tentative="1">
      <w:start w:val="1"/>
      <w:numFmt w:val="decimal"/>
      <w:lvlText w:val="%4."/>
      <w:lvlJc w:val="left"/>
      <w:pPr>
        <w:ind w:left="6632" w:hanging="360"/>
      </w:pPr>
    </w:lvl>
    <w:lvl w:ilvl="4" w:tplc="04100019" w:tentative="1">
      <w:start w:val="1"/>
      <w:numFmt w:val="lowerLetter"/>
      <w:lvlText w:val="%5."/>
      <w:lvlJc w:val="left"/>
      <w:pPr>
        <w:ind w:left="7352" w:hanging="360"/>
      </w:pPr>
    </w:lvl>
    <w:lvl w:ilvl="5" w:tplc="0410001B" w:tentative="1">
      <w:start w:val="1"/>
      <w:numFmt w:val="lowerRoman"/>
      <w:lvlText w:val="%6."/>
      <w:lvlJc w:val="right"/>
      <w:pPr>
        <w:ind w:left="8072" w:hanging="180"/>
      </w:pPr>
    </w:lvl>
    <w:lvl w:ilvl="6" w:tplc="0410000F" w:tentative="1">
      <w:start w:val="1"/>
      <w:numFmt w:val="decimal"/>
      <w:lvlText w:val="%7."/>
      <w:lvlJc w:val="left"/>
      <w:pPr>
        <w:ind w:left="8792" w:hanging="360"/>
      </w:pPr>
    </w:lvl>
    <w:lvl w:ilvl="7" w:tplc="04100019" w:tentative="1">
      <w:start w:val="1"/>
      <w:numFmt w:val="lowerLetter"/>
      <w:lvlText w:val="%8."/>
      <w:lvlJc w:val="left"/>
      <w:pPr>
        <w:ind w:left="9512" w:hanging="360"/>
      </w:pPr>
    </w:lvl>
    <w:lvl w:ilvl="8" w:tplc="0410001B" w:tentative="1">
      <w:start w:val="1"/>
      <w:numFmt w:val="lowerRoman"/>
      <w:lvlText w:val="%9."/>
      <w:lvlJc w:val="right"/>
      <w:pPr>
        <w:ind w:left="10232" w:hanging="180"/>
      </w:pPr>
    </w:lvl>
  </w:abstractNum>
  <w:abstractNum w:abstractNumId="7" w15:restartNumberingAfterBreak="0">
    <w:nsid w:val="55CF33F2"/>
    <w:multiLevelType w:val="hybridMultilevel"/>
    <w:tmpl w:val="887EC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F42FA3"/>
    <w:multiLevelType w:val="hybridMultilevel"/>
    <w:tmpl w:val="7EA29744"/>
    <w:lvl w:ilvl="0" w:tplc="7194A3D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7D0311"/>
    <w:multiLevelType w:val="hybridMultilevel"/>
    <w:tmpl w:val="80CC97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12A43B8"/>
    <w:multiLevelType w:val="hybridMultilevel"/>
    <w:tmpl w:val="514C56F6"/>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1" w15:restartNumberingAfterBreak="0">
    <w:nsid w:val="62DD150B"/>
    <w:multiLevelType w:val="hybridMultilevel"/>
    <w:tmpl w:val="7898E468"/>
    <w:lvl w:ilvl="0" w:tplc="FFFFFFFF">
      <w:start w:val="1"/>
      <w:numFmt w:val="bullet"/>
      <w:lvlText w:val="­"/>
      <w:lvlJc w:val="left"/>
      <w:pPr>
        <w:ind w:left="2280" w:hanging="360"/>
      </w:pPr>
      <w:rPr>
        <w:rFonts w:ascii="Times New Roman" w:hAnsi="Times New Roman" w:hint="default"/>
        <w:sz w:val="24"/>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2" w15:restartNumberingAfterBreak="0">
    <w:nsid w:val="7CA22CFF"/>
    <w:multiLevelType w:val="hybridMultilevel"/>
    <w:tmpl w:val="F30A6B46"/>
    <w:lvl w:ilvl="0" w:tplc="3A4A956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1"/>
  </w:num>
  <w:num w:numId="2">
    <w:abstractNumId w:val="9"/>
  </w:num>
  <w:num w:numId="3">
    <w:abstractNumId w:val="0"/>
  </w:num>
  <w:num w:numId="4">
    <w:abstractNumId w:val="3"/>
  </w:num>
  <w:num w:numId="5">
    <w:abstractNumId w:val="10"/>
  </w:num>
  <w:num w:numId="6">
    <w:abstractNumId w:val="6"/>
  </w:num>
  <w:num w:numId="7">
    <w:abstractNumId w:val="11"/>
  </w:num>
  <w:num w:numId="8">
    <w:abstractNumId w:val="2"/>
  </w:num>
  <w:num w:numId="9">
    <w:abstractNumId w:val="4"/>
  </w:num>
  <w:num w:numId="10">
    <w:abstractNumId w:val="12"/>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1"/>
  <w:activeWritingStyle w:appName="MSWord" w:lang="de-DE" w:vendorID="64" w:dllVersion="0" w:nlCheck="1" w:checkStyle="0"/>
  <w:activeWritingStyle w:appName="MSWord" w:lang="it-IT" w:vendorID="64" w:dllVersion="0" w:nlCheck="1" w:checkStyle="0"/>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D6B"/>
    <w:rsid w:val="004730BE"/>
    <w:rsid w:val="007759EB"/>
    <w:rsid w:val="00995D6B"/>
    <w:rsid w:val="00E9217B"/>
    <w:rsid w:val="00EF09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3E225FB-366F-4A42-93E3-A2A5F337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240" w:after="120" w:line="240" w:lineRule="auto"/>
    </w:pPr>
    <w:rPr>
      <w:rFonts w:ascii="Arial" w:hAnsi="Arial"/>
      <w:color w:val="414141"/>
      <w:sz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customStyle="1" w:styleId="CoverTitle">
    <w:name w:val="Cover Title"/>
    <w:next w:val="Standard"/>
    <w:link w:val="CoverTitleChar"/>
    <w:qFormat/>
    <w:pPr>
      <w:spacing w:before="120" w:line="240" w:lineRule="auto"/>
    </w:pPr>
    <w:rPr>
      <w:rFonts w:ascii="Arial" w:eastAsia="Arial" w:hAnsi="Arial" w:cs="Times New Roman"/>
      <w:b/>
      <w:bCs/>
      <w:color w:val="221E1F"/>
      <w:sz w:val="40"/>
      <w:szCs w:val="36"/>
      <w:lang w:val="en-US"/>
    </w:rPr>
  </w:style>
  <w:style w:type="character" w:customStyle="1" w:styleId="CoverTitleChar">
    <w:name w:val="Cover Title Char"/>
    <w:link w:val="CoverTitle"/>
    <w:rPr>
      <w:rFonts w:ascii="Arial" w:eastAsia="Arial" w:hAnsi="Arial" w:cs="Times New Roman"/>
      <w:b/>
      <w:bCs/>
      <w:color w:val="221E1F"/>
      <w:sz w:val="40"/>
      <w:szCs w:val="36"/>
      <w:lang w:val="en-US"/>
    </w:rPr>
  </w:style>
  <w:style w:type="paragraph" w:customStyle="1" w:styleId="Default">
    <w:name w:val="Default"/>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2">
    <w:name w:val="Pa2"/>
    <w:basedOn w:val="Default"/>
    <w:next w:val="Default"/>
    <w:uiPriority w:val="99"/>
    <w:pPr>
      <w:spacing w:line="241" w:lineRule="atLeast"/>
    </w:pPr>
    <w:rPr>
      <w:rFonts w:cstheme="minorBidi"/>
      <w:color w:val="auto"/>
    </w:rPr>
  </w:style>
  <w:style w:type="character" w:customStyle="1" w:styleId="A4">
    <w:name w:val="A4"/>
    <w:uiPriority w:val="99"/>
    <w:rPr>
      <w:rFonts w:cs="Helvetica Neue"/>
      <w:color w:val="000000"/>
      <w:sz w:val="16"/>
      <w:szCs w:val="16"/>
    </w:rPr>
  </w:style>
  <w:style w:type="paragraph" w:customStyle="1" w:styleId="Pa14">
    <w:name w:val="Pa14"/>
    <w:basedOn w:val="Default"/>
    <w:next w:val="Default"/>
    <w:uiPriority w:val="99"/>
    <w:pPr>
      <w:spacing w:line="241" w:lineRule="atLeast"/>
    </w:pPr>
    <w:rPr>
      <w:rFonts w:cstheme="minorBidi"/>
      <w:color w:val="auto"/>
    </w:rPr>
  </w:style>
  <w:style w:type="paragraph" w:customStyle="1" w:styleId="Pa0">
    <w:name w:val="Pa0"/>
    <w:basedOn w:val="Default"/>
    <w:next w:val="Default"/>
    <w:uiPriority w:val="99"/>
    <w:pPr>
      <w:spacing w:line="241" w:lineRule="atLeast"/>
    </w:pPr>
    <w:rPr>
      <w:rFonts w:ascii="Helvetica 65 Medium" w:hAnsi="Helvetica 65 Medium" w:cstheme="minorBidi"/>
      <w:color w:val="auto"/>
    </w:rPr>
  </w:style>
  <w:style w:type="paragraph" w:styleId="Sprechblasentext">
    <w:name w:val="Balloon Text"/>
    <w:basedOn w:val="Standard"/>
    <w:link w:val="SprechblasentextZchn"/>
    <w:uiPriority w:val="99"/>
    <w:semiHidden/>
    <w:unhideWhenUsed/>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color w:val="414141"/>
      <w:sz w:val="16"/>
      <w:szCs w:val="16"/>
      <w:lang w:val="en-US"/>
    </w:rPr>
  </w:style>
  <w:style w:type="paragraph" w:styleId="Kopfzeile">
    <w:name w:val="header"/>
    <w:basedOn w:val="Standard"/>
    <w:link w:val="KopfzeileZchn"/>
    <w:uiPriority w:val="99"/>
    <w:unhideWhenUsed/>
    <w:pPr>
      <w:tabs>
        <w:tab w:val="center" w:pos="4819"/>
        <w:tab w:val="right" w:pos="9638"/>
      </w:tabs>
      <w:spacing w:before="0" w:after="0"/>
    </w:pPr>
  </w:style>
  <w:style w:type="character" w:customStyle="1" w:styleId="KopfzeileZchn">
    <w:name w:val="Kopfzeile Zchn"/>
    <w:basedOn w:val="Absatz-Standardschriftart"/>
    <w:link w:val="Kopfzeile"/>
    <w:uiPriority w:val="99"/>
    <w:rPr>
      <w:rFonts w:ascii="Arial" w:hAnsi="Arial"/>
      <w:color w:val="414141"/>
      <w:sz w:val="20"/>
      <w:lang w:val="en-US"/>
    </w:rPr>
  </w:style>
  <w:style w:type="paragraph" w:styleId="Fuzeile">
    <w:name w:val="footer"/>
    <w:basedOn w:val="Standard"/>
    <w:link w:val="FuzeileZchn"/>
    <w:uiPriority w:val="99"/>
    <w:unhideWhenUsed/>
    <w:pPr>
      <w:tabs>
        <w:tab w:val="center" w:pos="4819"/>
        <w:tab w:val="right" w:pos="9638"/>
      </w:tabs>
      <w:spacing w:before="0" w:after="0"/>
    </w:pPr>
  </w:style>
  <w:style w:type="character" w:customStyle="1" w:styleId="FuzeileZchn">
    <w:name w:val="Fußzeile Zchn"/>
    <w:basedOn w:val="Absatz-Standardschriftart"/>
    <w:link w:val="Fuzeile"/>
    <w:uiPriority w:val="99"/>
    <w:rPr>
      <w:rFonts w:ascii="Arial" w:hAnsi="Arial"/>
      <w:color w:val="414141"/>
      <w:sz w:val="20"/>
      <w:lang w:val="en-US"/>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color w:val="auto"/>
      <w:sz w:val="24"/>
      <w:szCs w:val="24"/>
      <w:lang w:val="it-IT" w:eastAsia="it-IT"/>
    </w:rPr>
  </w:style>
  <w:style w:type="character" w:styleId="Hyperlink">
    <w:name w:val="Hyperlink"/>
    <w:basedOn w:val="Absatz-Standardschriftart"/>
    <w:uiPriority w:val="99"/>
    <w:unhideWhenUsed/>
    <w:rPr>
      <w:color w:val="0000FF" w:themeColor="hyperlink"/>
      <w:u w:val="single"/>
    </w:rPr>
  </w:style>
  <w:style w:type="paragraph" w:customStyle="1" w:styleId="pseudo-first-child">
    <w:name w:val="pseudo-first-child"/>
    <w:basedOn w:val="Standard"/>
    <w:pPr>
      <w:spacing w:before="100" w:beforeAutospacing="1" w:after="100" w:afterAutospacing="1"/>
    </w:pPr>
    <w:rPr>
      <w:rFonts w:ascii="Times" w:hAnsi="Times"/>
      <w:color w:val="auto"/>
      <w:szCs w:val="20"/>
    </w:rPr>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semiHidden/>
    <w:unhideWhenUsed/>
    <w:rPr>
      <w:sz w:val="24"/>
      <w:szCs w:val="24"/>
    </w:rPr>
  </w:style>
  <w:style w:type="character" w:customStyle="1" w:styleId="KommentartextZchn">
    <w:name w:val="Kommentartext Zchn"/>
    <w:basedOn w:val="Absatz-Standardschriftart"/>
    <w:link w:val="Kommentartext"/>
    <w:uiPriority w:val="99"/>
    <w:semiHidden/>
    <w:rPr>
      <w:rFonts w:ascii="Arial" w:hAnsi="Arial"/>
      <w:color w:val="414141"/>
      <w:sz w:val="24"/>
      <w:szCs w:val="24"/>
      <w:lang w:val="en-US"/>
    </w:rPr>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rFonts w:ascii="Arial" w:hAnsi="Arial"/>
      <w:b/>
      <w:bCs/>
      <w:color w:val="414141"/>
      <w:sz w:val="20"/>
      <w:szCs w:val="20"/>
      <w:lang w:val="en-US"/>
    </w:rPr>
  </w:style>
  <w:style w:type="paragraph" w:styleId="berarbeitung">
    <w:name w:val="Revision"/>
    <w:hidden/>
    <w:uiPriority w:val="99"/>
    <w:semiHidden/>
    <w:pPr>
      <w:spacing w:after="0" w:line="240" w:lineRule="auto"/>
    </w:pPr>
    <w:rPr>
      <w:rFonts w:ascii="Arial" w:hAnsi="Arial"/>
      <w:color w:val="414141"/>
      <w:sz w:val="20"/>
      <w:lang w:val="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description">
    <w:name w:val="description"/>
    <w:basedOn w:val="Standard"/>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parentorganisations">
    <w:name w:val="parent_organisations"/>
    <w:basedOn w:val="Standard"/>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apple-converted-space">
    <w:name w:val="apple-converted-space"/>
    <w:basedOn w:val="Absatz-Standardschriftart"/>
  </w:style>
  <w:style w:type="paragraph" w:styleId="NurText">
    <w:name w:val="Plain Text"/>
    <w:basedOn w:val="Standard"/>
    <w:link w:val="NurTextZchn"/>
    <w:uiPriority w:val="99"/>
    <w:semiHidden/>
    <w:unhideWhenUsed/>
    <w:pPr>
      <w:spacing w:before="0" w:after="0"/>
    </w:pPr>
    <w:rPr>
      <w:rFonts w:cs="Arial"/>
      <w:color w:val="000000" w:themeColor="text1"/>
      <w:szCs w:val="20"/>
      <w:lang w:val="en-GB"/>
    </w:rPr>
  </w:style>
  <w:style w:type="character" w:customStyle="1" w:styleId="NurTextZchn">
    <w:name w:val="Nur Text Zchn"/>
    <w:basedOn w:val="Absatz-Standardschriftart"/>
    <w:link w:val="NurText"/>
    <w:uiPriority w:val="99"/>
    <w:semiHidden/>
    <w:rPr>
      <w:rFonts w:ascii="Arial" w:hAnsi="Arial" w:cs="Arial"/>
      <w:color w:val="000000" w:themeColor="text1"/>
      <w:sz w:val="20"/>
      <w:szCs w:val="20"/>
      <w:lang w:val="en-GB"/>
    </w:rPr>
  </w:style>
  <w:style w:type="paragraph" w:styleId="Textkrper">
    <w:name w:val="Body Text"/>
    <w:basedOn w:val="Standard"/>
    <w:link w:val="TextkrperZchn"/>
    <w:pPr>
      <w:ind w:left="720"/>
      <w:jc w:val="both"/>
    </w:pPr>
    <w:rPr>
      <w:rFonts w:eastAsia="Cambria" w:cs="Arial"/>
      <w:color w:val="000000" w:themeColor="text1"/>
      <w:lang w:val="en-GB"/>
    </w:rPr>
  </w:style>
  <w:style w:type="character" w:customStyle="1" w:styleId="TextkrperZchn">
    <w:name w:val="Textkörper Zchn"/>
    <w:basedOn w:val="Absatz-Standardschriftart"/>
    <w:link w:val="Textkrper"/>
    <w:rPr>
      <w:rFonts w:ascii="Arial" w:eastAsia="Cambria" w:hAnsi="Arial" w:cs="Arial"/>
      <w:color w:val="000000" w:themeColor="text1"/>
      <w:sz w:val="20"/>
      <w:lang w:val="en-GB"/>
    </w:rPr>
  </w:style>
  <w:style w:type="character" w:styleId="Fett">
    <w:name w:val="Strong"/>
    <w:basedOn w:val="Absatz-Standardschriftart"/>
    <w:uiPriority w:val="22"/>
    <w:qFormat/>
    <w:rPr>
      <w:b/>
      <w:bCs/>
    </w:rPr>
  </w:style>
  <w:style w:type="paragraph" w:customStyle="1" w:styleId="paragraph">
    <w:name w:val="paragraph"/>
    <w:basedOn w:val="Standard"/>
    <w:pPr>
      <w:spacing w:before="100" w:beforeAutospacing="1" w:after="100" w:afterAutospacing="1"/>
    </w:pPr>
    <w:rPr>
      <w:rFonts w:ascii="Times New Roman" w:eastAsia="Times New Roman" w:hAnsi="Times New Roman" w:cs="Times New Roman"/>
      <w:color w:val="auto"/>
      <w:sz w:val="24"/>
      <w:szCs w:val="24"/>
      <w:lang w:val="de-DE" w:eastAsia="de-DE"/>
    </w:rPr>
  </w:style>
  <w:style w:type="character" w:customStyle="1" w:styleId="UnresolvedMention">
    <w:name w:val="Unresolved Mention"/>
    <w:basedOn w:val="Absatz-Standardschriftart"/>
    <w:uiPriority w:val="99"/>
    <w:semiHidden/>
    <w:unhideWhenUsed/>
    <w:rPr>
      <w:color w:val="605E5C"/>
      <w:shd w:val="clear" w:color="auto" w:fill="E1DFDD"/>
    </w:rPr>
  </w:style>
  <w:style w:type="paragraph" w:styleId="Beschriftung">
    <w:name w:val="caption"/>
    <w:basedOn w:val="Standard"/>
    <w:next w:val="Standard"/>
    <w:uiPriority w:val="35"/>
    <w:unhideWhenUsed/>
    <w:qFormat/>
    <w:rsid w:val="00E9217B"/>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805">
      <w:bodyDiv w:val="1"/>
      <w:marLeft w:val="0"/>
      <w:marRight w:val="0"/>
      <w:marTop w:val="0"/>
      <w:marBottom w:val="0"/>
      <w:divBdr>
        <w:top w:val="none" w:sz="0" w:space="0" w:color="auto"/>
        <w:left w:val="none" w:sz="0" w:space="0" w:color="auto"/>
        <w:bottom w:val="none" w:sz="0" w:space="0" w:color="auto"/>
        <w:right w:val="none" w:sz="0" w:space="0" w:color="auto"/>
      </w:divBdr>
    </w:div>
    <w:div w:id="64647791">
      <w:bodyDiv w:val="1"/>
      <w:marLeft w:val="0"/>
      <w:marRight w:val="0"/>
      <w:marTop w:val="0"/>
      <w:marBottom w:val="0"/>
      <w:divBdr>
        <w:top w:val="none" w:sz="0" w:space="0" w:color="auto"/>
        <w:left w:val="none" w:sz="0" w:space="0" w:color="auto"/>
        <w:bottom w:val="none" w:sz="0" w:space="0" w:color="auto"/>
        <w:right w:val="none" w:sz="0" w:space="0" w:color="auto"/>
      </w:divBdr>
    </w:div>
    <w:div w:id="223832657">
      <w:bodyDiv w:val="1"/>
      <w:marLeft w:val="0"/>
      <w:marRight w:val="0"/>
      <w:marTop w:val="0"/>
      <w:marBottom w:val="0"/>
      <w:divBdr>
        <w:top w:val="none" w:sz="0" w:space="0" w:color="auto"/>
        <w:left w:val="none" w:sz="0" w:space="0" w:color="auto"/>
        <w:bottom w:val="none" w:sz="0" w:space="0" w:color="auto"/>
        <w:right w:val="none" w:sz="0" w:space="0" w:color="auto"/>
      </w:divBdr>
    </w:div>
    <w:div w:id="315915027">
      <w:bodyDiv w:val="1"/>
      <w:marLeft w:val="0"/>
      <w:marRight w:val="0"/>
      <w:marTop w:val="0"/>
      <w:marBottom w:val="0"/>
      <w:divBdr>
        <w:top w:val="none" w:sz="0" w:space="0" w:color="auto"/>
        <w:left w:val="none" w:sz="0" w:space="0" w:color="auto"/>
        <w:bottom w:val="none" w:sz="0" w:space="0" w:color="auto"/>
        <w:right w:val="none" w:sz="0" w:space="0" w:color="auto"/>
      </w:divBdr>
    </w:div>
    <w:div w:id="375083602">
      <w:bodyDiv w:val="1"/>
      <w:marLeft w:val="0"/>
      <w:marRight w:val="0"/>
      <w:marTop w:val="0"/>
      <w:marBottom w:val="0"/>
      <w:divBdr>
        <w:top w:val="none" w:sz="0" w:space="0" w:color="auto"/>
        <w:left w:val="none" w:sz="0" w:space="0" w:color="auto"/>
        <w:bottom w:val="none" w:sz="0" w:space="0" w:color="auto"/>
        <w:right w:val="none" w:sz="0" w:space="0" w:color="auto"/>
      </w:divBdr>
    </w:div>
    <w:div w:id="436608631">
      <w:bodyDiv w:val="1"/>
      <w:marLeft w:val="0"/>
      <w:marRight w:val="0"/>
      <w:marTop w:val="0"/>
      <w:marBottom w:val="0"/>
      <w:divBdr>
        <w:top w:val="none" w:sz="0" w:space="0" w:color="auto"/>
        <w:left w:val="none" w:sz="0" w:space="0" w:color="auto"/>
        <w:bottom w:val="none" w:sz="0" w:space="0" w:color="auto"/>
        <w:right w:val="none" w:sz="0" w:space="0" w:color="auto"/>
      </w:divBdr>
    </w:div>
    <w:div w:id="537856012">
      <w:bodyDiv w:val="1"/>
      <w:marLeft w:val="0"/>
      <w:marRight w:val="0"/>
      <w:marTop w:val="0"/>
      <w:marBottom w:val="0"/>
      <w:divBdr>
        <w:top w:val="none" w:sz="0" w:space="0" w:color="auto"/>
        <w:left w:val="none" w:sz="0" w:space="0" w:color="auto"/>
        <w:bottom w:val="none" w:sz="0" w:space="0" w:color="auto"/>
        <w:right w:val="none" w:sz="0" w:space="0" w:color="auto"/>
      </w:divBdr>
    </w:div>
    <w:div w:id="562763971">
      <w:bodyDiv w:val="1"/>
      <w:marLeft w:val="0"/>
      <w:marRight w:val="0"/>
      <w:marTop w:val="0"/>
      <w:marBottom w:val="0"/>
      <w:divBdr>
        <w:top w:val="none" w:sz="0" w:space="0" w:color="auto"/>
        <w:left w:val="none" w:sz="0" w:space="0" w:color="auto"/>
        <w:bottom w:val="none" w:sz="0" w:space="0" w:color="auto"/>
        <w:right w:val="none" w:sz="0" w:space="0" w:color="auto"/>
      </w:divBdr>
    </w:div>
    <w:div w:id="580453116">
      <w:bodyDiv w:val="1"/>
      <w:marLeft w:val="0"/>
      <w:marRight w:val="0"/>
      <w:marTop w:val="0"/>
      <w:marBottom w:val="0"/>
      <w:divBdr>
        <w:top w:val="none" w:sz="0" w:space="0" w:color="auto"/>
        <w:left w:val="none" w:sz="0" w:space="0" w:color="auto"/>
        <w:bottom w:val="none" w:sz="0" w:space="0" w:color="auto"/>
        <w:right w:val="none" w:sz="0" w:space="0" w:color="auto"/>
      </w:divBdr>
    </w:div>
    <w:div w:id="608658640">
      <w:bodyDiv w:val="1"/>
      <w:marLeft w:val="0"/>
      <w:marRight w:val="0"/>
      <w:marTop w:val="0"/>
      <w:marBottom w:val="0"/>
      <w:divBdr>
        <w:top w:val="none" w:sz="0" w:space="0" w:color="auto"/>
        <w:left w:val="none" w:sz="0" w:space="0" w:color="auto"/>
        <w:bottom w:val="none" w:sz="0" w:space="0" w:color="auto"/>
        <w:right w:val="none" w:sz="0" w:space="0" w:color="auto"/>
      </w:divBdr>
    </w:div>
    <w:div w:id="610014018">
      <w:bodyDiv w:val="1"/>
      <w:marLeft w:val="0"/>
      <w:marRight w:val="0"/>
      <w:marTop w:val="0"/>
      <w:marBottom w:val="0"/>
      <w:divBdr>
        <w:top w:val="none" w:sz="0" w:space="0" w:color="auto"/>
        <w:left w:val="none" w:sz="0" w:space="0" w:color="auto"/>
        <w:bottom w:val="none" w:sz="0" w:space="0" w:color="auto"/>
        <w:right w:val="none" w:sz="0" w:space="0" w:color="auto"/>
      </w:divBdr>
    </w:div>
    <w:div w:id="660743747">
      <w:bodyDiv w:val="1"/>
      <w:marLeft w:val="0"/>
      <w:marRight w:val="0"/>
      <w:marTop w:val="0"/>
      <w:marBottom w:val="0"/>
      <w:divBdr>
        <w:top w:val="none" w:sz="0" w:space="0" w:color="auto"/>
        <w:left w:val="none" w:sz="0" w:space="0" w:color="auto"/>
        <w:bottom w:val="none" w:sz="0" w:space="0" w:color="auto"/>
        <w:right w:val="none" w:sz="0" w:space="0" w:color="auto"/>
      </w:divBdr>
    </w:div>
    <w:div w:id="694111483">
      <w:bodyDiv w:val="1"/>
      <w:marLeft w:val="0"/>
      <w:marRight w:val="0"/>
      <w:marTop w:val="0"/>
      <w:marBottom w:val="0"/>
      <w:divBdr>
        <w:top w:val="none" w:sz="0" w:space="0" w:color="auto"/>
        <w:left w:val="none" w:sz="0" w:space="0" w:color="auto"/>
        <w:bottom w:val="none" w:sz="0" w:space="0" w:color="auto"/>
        <w:right w:val="none" w:sz="0" w:space="0" w:color="auto"/>
      </w:divBdr>
    </w:div>
    <w:div w:id="749347465">
      <w:bodyDiv w:val="1"/>
      <w:marLeft w:val="0"/>
      <w:marRight w:val="0"/>
      <w:marTop w:val="0"/>
      <w:marBottom w:val="0"/>
      <w:divBdr>
        <w:top w:val="none" w:sz="0" w:space="0" w:color="auto"/>
        <w:left w:val="none" w:sz="0" w:space="0" w:color="auto"/>
        <w:bottom w:val="none" w:sz="0" w:space="0" w:color="auto"/>
        <w:right w:val="none" w:sz="0" w:space="0" w:color="auto"/>
      </w:divBdr>
    </w:div>
    <w:div w:id="749350255">
      <w:bodyDiv w:val="1"/>
      <w:marLeft w:val="0"/>
      <w:marRight w:val="0"/>
      <w:marTop w:val="0"/>
      <w:marBottom w:val="0"/>
      <w:divBdr>
        <w:top w:val="none" w:sz="0" w:space="0" w:color="auto"/>
        <w:left w:val="none" w:sz="0" w:space="0" w:color="auto"/>
        <w:bottom w:val="none" w:sz="0" w:space="0" w:color="auto"/>
        <w:right w:val="none" w:sz="0" w:space="0" w:color="auto"/>
      </w:divBdr>
    </w:div>
    <w:div w:id="764423170">
      <w:bodyDiv w:val="1"/>
      <w:marLeft w:val="0"/>
      <w:marRight w:val="0"/>
      <w:marTop w:val="0"/>
      <w:marBottom w:val="0"/>
      <w:divBdr>
        <w:top w:val="none" w:sz="0" w:space="0" w:color="auto"/>
        <w:left w:val="none" w:sz="0" w:space="0" w:color="auto"/>
        <w:bottom w:val="none" w:sz="0" w:space="0" w:color="auto"/>
        <w:right w:val="none" w:sz="0" w:space="0" w:color="auto"/>
      </w:divBdr>
    </w:div>
    <w:div w:id="790443520">
      <w:bodyDiv w:val="1"/>
      <w:marLeft w:val="0"/>
      <w:marRight w:val="0"/>
      <w:marTop w:val="0"/>
      <w:marBottom w:val="0"/>
      <w:divBdr>
        <w:top w:val="none" w:sz="0" w:space="0" w:color="auto"/>
        <w:left w:val="none" w:sz="0" w:space="0" w:color="auto"/>
        <w:bottom w:val="none" w:sz="0" w:space="0" w:color="auto"/>
        <w:right w:val="none" w:sz="0" w:space="0" w:color="auto"/>
      </w:divBdr>
    </w:div>
    <w:div w:id="822240159">
      <w:bodyDiv w:val="1"/>
      <w:marLeft w:val="0"/>
      <w:marRight w:val="0"/>
      <w:marTop w:val="0"/>
      <w:marBottom w:val="0"/>
      <w:divBdr>
        <w:top w:val="none" w:sz="0" w:space="0" w:color="auto"/>
        <w:left w:val="none" w:sz="0" w:space="0" w:color="auto"/>
        <w:bottom w:val="none" w:sz="0" w:space="0" w:color="auto"/>
        <w:right w:val="none" w:sz="0" w:space="0" w:color="auto"/>
      </w:divBdr>
    </w:div>
    <w:div w:id="1069381472">
      <w:bodyDiv w:val="1"/>
      <w:marLeft w:val="0"/>
      <w:marRight w:val="0"/>
      <w:marTop w:val="0"/>
      <w:marBottom w:val="0"/>
      <w:divBdr>
        <w:top w:val="none" w:sz="0" w:space="0" w:color="auto"/>
        <w:left w:val="none" w:sz="0" w:space="0" w:color="auto"/>
        <w:bottom w:val="none" w:sz="0" w:space="0" w:color="auto"/>
        <w:right w:val="none" w:sz="0" w:space="0" w:color="auto"/>
      </w:divBdr>
    </w:div>
    <w:div w:id="1077243798">
      <w:bodyDiv w:val="1"/>
      <w:marLeft w:val="0"/>
      <w:marRight w:val="0"/>
      <w:marTop w:val="0"/>
      <w:marBottom w:val="0"/>
      <w:divBdr>
        <w:top w:val="none" w:sz="0" w:space="0" w:color="auto"/>
        <w:left w:val="none" w:sz="0" w:space="0" w:color="auto"/>
        <w:bottom w:val="none" w:sz="0" w:space="0" w:color="auto"/>
        <w:right w:val="none" w:sz="0" w:space="0" w:color="auto"/>
      </w:divBdr>
    </w:div>
    <w:div w:id="1102453207">
      <w:bodyDiv w:val="1"/>
      <w:marLeft w:val="0"/>
      <w:marRight w:val="0"/>
      <w:marTop w:val="0"/>
      <w:marBottom w:val="0"/>
      <w:divBdr>
        <w:top w:val="none" w:sz="0" w:space="0" w:color="auto"/>
        <w:left w:val="none" w:sz="0" w:space="0" w:color="auto"/>
        <w:bottom w:val="none" w:sz="0" w:space="0" w:color="auto"/>
        <w:right w:val="none" w:sz="0" w:space="0" w:color="auto"/>
      </w:divBdr>
    </w:div>
    <w:div w:id="1182234301">
      <w:bodyDiv w:val="1"/>
      <w:marLeft w:val="0"/>
      <w:marRight w:val="0"/>
      <w:marTop w:val="0"/>
      <w:marBottom w:val="0"/>
      <w:divBdr>
        <w:top w:val="none" w:sz="0" w:space="0" w:color="auto"/>
        <w:left w:val="none" w:sz="0" w:space="0" w:color="auto"/>
        <w:bottom w:val="none" w:sz="0" w:space="0" w:color="auto"/>
        <w:right w:val="none" w:sz="0" w:space="0" w:color="auto"/>
      </w:divBdr>
    </w:div>
    <w:div w:id="1184827540">
      <w:bodyDiv w:val="1"/>
      <w:marLeft w:val="0"/>
      <w:marRight w:val="0"/>
      <w:marTop w:val="0"/>
      <w:marBottom w:val="0"/>
      <w:divBdr>
        <w:top w:val="none" w:sz="0" w:space="0" w:color="auto"/>
        <w:left w:val="none" w:sz="0" w:space="0" w:color="auto"/>
        <w:bottom w:val="none" w:sz="0" w:space="0" w:color="auto"/>
        <w:right w:val="none" w:sz="0" w:space="0" w:color="auto"/>
      </w:divBdr>
    </w:div>
    <w:div w:id="1206915775">
      <w:bodyDiv w:val="1"/>
      <w:marLeft w:val="0"/>
      <w:marRight w:val="0"/>
      <w:marTop w:val="0"/>
      <w:marBottom w:val="0"/>
      <w:divBdr>
        <w:top w:val="none" w:sz="0" w:space="0" w:color="auto"/>
        <w:left w:val="none" w:sz="0" w:space="0" w:color="auto"/>
        <w:bottom w:val="none" w:sz="0" w:space="0" w:color="auto"/>
        <w:right w:val="none" w:sz="0" w:space="0" w:color="auto"/>
      </w:divBdr>
    </w:div>
    <w:div w:id="1219047468">
      <w:bodyDiv w:val="1"/>
      <w:marLeft w:val="0"/>
      <w:marRight w:val="0"/>
      <w:marTop w:val="0"/>
      <w:marBottom w:val="0"/>
      <w:divBdr>
        <w:top w:val="none" w:sz="0" w:space="0" w:color="auto"/>
        <w:left w:val="none" w:sz="0" w:space="0" w:color="auto"/>
        <w:bottom w:val="none" w:sz="0" w:space="0" w:color="auto"/>
        <w:right w:val="none" w:sz="0" w:space="0" w:color="auto"/>
      </w:divBdr>
      <w:divsChild>
        <w:div w:id="1513182362">
          <w:marLeft w:val="0"/>
          <w:marRight w:val="0"/>
          <w:marTop w:val="0"/>
          <w:marBottom w:val="0"/>
          <w:divBdr>
            <w:top w:val="none" w:sz="0" w:space="0" w:color="auto"/>
            <w:left w:val="none" w:sz="0" w:space="0" w:color="auto"/>
            <w:bottom w:val="none" w:sz="0" w:space="0" w:color="auto"/>
            <w:right w:val="none" w:sz="0" w:space="0" w:color="auto"/>
          </w:divBdr>
        </w:div>
        <w:div w:id="658659335">
          <w:marLeft w:val="0"/>
          <w:marRight w:val="0"/>
          <w:marTop w:val="0"/>
          <w:marBottom w:val="0"/>
          <w:divBdr>
            <w:top w:val="none" w:sz="0" w:space="0" w:color="auto"/>
            <w:left w:val="none" w:sz="0" w:space="0" w:color="auto"/>
            <w:bottom w:val="none" w:sz="0" w:space="0" w:color="auto"/>
            <w:right w:val="none" w:sz="0" w:space="0" w:color="auto"/>
          </w:divBdr>
        </w:div>
        <w:div w:id="471603411">
          <w:marLeft w:val="0"/>
          <w:marRight w:val="0"/>
          <w:marTop w:val="0"/>
          <w:marBottom w:val="0"/>
          <w:divBdr>
            <w:top w:val="none" w:sz="0" w:space="0" w:color="auto"/>
            <w:left w:val="none" w:sz="0" w:space="0" w:color="auto"/>
            <w:bottom w:val="none" w:sz="0" w:space="0" w:color="auto"/>
            <w:right w:val="none" w:sz="0" w:space="0" w:color="auto"/>
          </w:divBdr>
        </w:div>
        <w:div w:id="1443567908">
          <w:marLeft w:val="0"/>
          <w:marRight w:val="0"/>
          <w:marTop w:val="0"/>
          <w:marBottom w:val="0"/>
          <w:divBdr>
            <w:top w:val="none" w:sz="0" w:space="0" w:color="auto"/>
            <w:left w:val="none" w:sz="0" w:space="0" w:color="auto"/>
            <w:bottom w:val="none" w:sz="0" w:space="0" w:color="auto"/>
            <w:right w:val="none" w:sz="0" w:space="0" w:color="auto"/>
          </w:divBdr>
        </w:div>
        <w:div w:id="8070963">
          <w:marLeft w:val="0"/>
          <w:marRight w:val="0"/>
          <w:marTop w:val="0"/>
          <w:marBottom w:val="0"/>
          <w:divBdr>
            <w:top w:val="none" w:sz="0" w:space="0" w:color="auto"/>
            <w:left w:val="none" w:sz="0" w:space="0" w:color="auto"/>
            <w:bottom w:val="none" w:sz="0" w:space="0" w:color="auto"/>
            <w:right w:val="none" w:sz="0" w:space="0" w:color="auto"/>
          </w:divBdr>
        </w:div>
        <w:div w:id="1722706806">
          <w:marLeft w:val="0"/>
          <w:marRight w:val="0"/>
          <w:marTop w:val="0"/>
          <w:marBottom w:val="0"/>
          <w:divBdr>
            <w:top w:val="none" w:sz="0" w:space="0" w:color="auto"/>
            <w:left w:val="none" w:sz="0" w:space="0" w:color="auto"/>
            <w:bottom w:val="none" w:sz="0" w:space="0" w:color="auto"/>
            <w:right w:val="none" w:sz="0" w:space="0" w:color="auto"/>
          </w:divBdr>
        </w:div>
      </w:divsChild>
    </w:div>
    <w:div w:id="1280644507">
      <w:bodyDiv w:val="1"/>
      <w:marLeft w:val="0"/>
      <w:marRight w:val="0"/>
      <w:marTop w:val="0"/>
      <w:marBottom w:val="0"/>
      <w:divBdr>
        <w:top w:val="none" w:sz="0" w:space="0" w:color="auto"/>
        <w:left w:val="none" w:sz="0" w:space="0" w:color="auto"/>
        <w:bottom w:val="none" w:sz="0" w:space="0" w:color="auto"/>
        <w:right w:val="none" w:sz="0" w:space="0" w:color="auto"/>
      </w:divBdr>
    </w:div>
    <w:div w:id="1308045276">
      <w:bodyDiv w:val="1"/>
      <w:marLeft w:val="0"/>
      <w:marRight w:val="0"/>
      <w:marTop w:val="0"/>
      <w:marBottom w:val="0"/>
      <w:divBdr>
        <w:top w:val="none" w:sz="0" w:space="0" w:color="auto"/>
        <w:left w:val="none" w:sz="0" w:space="0" w:color="auto"/>
        <w:bottom w:val="none" w:sz="0" w:space="0" w:color="auto"/>
        <w:right w:val="none" w:sz="0" w:space="0" w:color="auto"/>
      </w:divBdr>
      <w:divsChild>
        <w:div w:id="1827818793">
          <w:marLeft w:val="0"/>
          <w:marRight w:val="0"/>
          <w:marTop w:val="0"/>
          <w:marBottom w:val="0"/>
          <w:divBdr>
            <w:top w:val="none" w:sz="0" w:space="0" w:color="auto"/>
            <w:left w:val="none" w:sz="0" w:space="0" w:color="auto"/>
            <w:bottom w:val="none" w:sz="0" w:space="0" w:color="auto"/>
            <w:right w:val="none" w:sz="0" w:space="0" w:color="auto"/>
          </w:divBdr>
        </w:div>
      </w:divsChild>
    </w:div>
    <w:div w:id="1354383760">
      <w:bodyDiv w:val="1"/>
      <w:marLeft w:val="0"/>
      <w:marRight w:val="0"/>
      <w:marTop w:val="0"/>
      <w:marBottom w:val="0"/>
      <w:divBdr>
        <w:top w:val="none" w:sz="0" w:space="0" w:color="auto"/>
        <w:left w:val="none" w:sz="0" w:space="0" w:color="auto"/>
        <w:bottom w:val="none" w:sz="0" w:space="0" w:color="auto"/>
        <w:right w:val="none" w:sz="0" w:space="0" w:color="auto"/>
      </w:divBdr>
    </w:div>
    <w:div w:id="1383557729">
      <w:bodyDiv w:val="1"/>
      <w:marLeft w:val="0"/>
      <w:marRight w:val="0"/>
      <w:marTop w:val="0"/>
      <w:marBottom w:val="0"/>
      <w:divBdr>
        <w:top w:val="none" w:sz="0" w:space="0" w:color="auto"/>
        <w:left w:val="none" w:sz="0" w:space="0" w:color="auto"/>
        <w:bottom w:val="none" w:sz="0" w:space="0" w:color="auto"/>
        <w:right w:val="none" w:sz="0" w:space="0" w:color="auto"/>
      </w:divBdr>
    </w:div>
    <w:div w:id="1489710018">
      <w:bodyDiv w:val="1"/>
      <w:marLeft w:val="0"/>
      <w:marRight w:val="0"/>
      <w:marTop w:val="0"/>
      <w:marBottom w:val="0"/>
      <w:divBdr>
        <w:top w:val="none" w:sz="0" w:space="0" w:color="auto"/>
        <w:left w:val="none" w:sz="0" w:space="0" w:color="auto"/>
        <w:bottom w:val="none" w:sz="0" w:space="0" w:color="auto"/>
        <w:right w:val="none" w:sz="0" w:space="0" w:color="auto"/>
      </w:divBdr>
    </w:div>
    <w:div w:id="1517385269">
      <w:bodyDiv w:val="1"/>
      <w:marLeft w:val="0"/>
      <w:marRight w:val="0"/>
      <w:marTop w:val="0"/>
      <w:marBottom w:val="0"/>
      <w:divBdr>
        <w:top w:val="none" w:sz="0" w:space="0" w:color="auto"/>
        <w:left w:val="none" w:sz="0" w:space="0" w:color="auto"/>
        <w:bottom w:val="none" w:sz="0" w:space="0" w:color="auto"/>
        <w:right w:val="none" w:sz="0" w:space="0" w:color="auto"/>
      </w:divBdr>
    </w:div>
    <w:div w:id="1732583855">
      <w:bodyDiv w:val="1"/>
      <w:marLeft w:val="0"/>
      <w:marRight w:val="0"/>
      <w:marTop w:val="0"/>
      <w:marBottom w:val="0"/>
      <w:divBdr>
        <w:top w:val="none" w:sz="0" w:space="0" w:color="auto"/>
        <w:left w:val="none" w:sz="0" w:space="0" w:color="auto"/>
        <w:bottom w:val="none" w:sz="0" w:space="0" w:color="auto"/>
        <w:right w:val="none" w:sz="0" w:space="0" w:color="auto"/>
      </w:divBdr>
    </w:div>
    <w:div w:id="1771194891">
      <w:bodyDiv w:val="1"/>
      <w:marLeft w:val="0"/>
      <w:marRight w:val="0"/>
      <w:marTop w:val="0"/>
      <w:marBottom w:val="0"/>
      <w:divBdr>
        <w:top w:val="none" w:sz="0" w:space="0" w:color="auto"/>
        <w:left w:val="none" w:sz="0" w:space="0" w:color="auto"/>
        <w:bottom w:val="none" w:sz="0" w:space="0" w:color="auto"/>
        <w:right w:val="none" w:sz="0" w:space="0" w:color="auto"/>
      </w:divBdr>
    </w:div>
    <w:div w:id="1789352364">
      <w:bodyDiv w:val="1"/>
      <w:marLeft w:val="0"/>
      <w:marRight w:val="0"/>
      <w:marTop w:val="0"/>
      <w:marBottom w:val="0"/>
      <w:divBdr>
        <w:top w:val="none" w:sz="0" w:space="0" w:color="auto"/>
        <w:left w:val="none" w:sz="0" w:space="0" w:color="auto"/>
        <w:bottom w:val="none" w:sz="0" w:space="0" w:color="auto"/>
        <w:right w:val="none" w:sz="0" w:space="0" w:color="auto"/>
      </w:divBdr>
    </w:div>
    <w:div w:id="1827625082">
      <w:bodyDiv w:val="1"/>
      <w:marLeft w:val="0"/>
      <w:marRight w:val="0"/>
      <w:marTop w:val="0"/>
      <w:marBottom w:val="0"/>
      <w:divBdr>
        <w:top w:val="none" w:sz="0" w:space="0" w:color="auto"/>
        <w:left w:val="none" w:sz="0" w:space="0" w:color="auto"/>
        <w:bottom w:val="none" w:sz="0" w:space="0" w:color="auto"/>
        <w:right w:val="none" w:sz="0" w:space="0" w:color="auto"/>
      </w:divBdr>
    </w:div>
    <w:div w:id="1874689205">
      <w:bodyDiv w:val="1"/>
      <w:marLeft w:val="0"/>
      <w:marRight w:val="0"/>
      <w:marTop w:val="0"/>
      <w:marBottom w:val="0"/>
      <w:divBdr>
        <w:top w:val="none" w:sz="0" w:space="0" w:color="auto"/>
        <w:left w:val="none" w:sz="0" w:space="0" w:color="auto"/>
        <w:bottom w:val="none" w:sz="0" w:space="0" w:color="auto"/>
        <w:right w:val="none" w:sz="0" w:space="0" w:color="auto"/>
      </w:divBdr>
    </w:div>
    <w:div w:id="1961371503">
      <w:bodyDiv w:val="1"/>
      <w:marLeft w:val="0"/>
      <w:marRight w:val="0"/>
      <w:marTop w:val="0"/>
      <w:marBottom w:val="0"/>
      <w:divBdr>
        <w:top w:val="none" w:sz="0" w:space="0" w:color="auto"/>
        <w:left w:val="none" w:sz="0" w:space="0" w:color="auto"/>
        <w:bottom w:val="none" w:sz="0" w:space="0" w:color="auto"/>
        <w:right w:val="none" w:sz="0" w:space="0" w:color="auto"/>
      </w:divBdr>
    </w:div>
    <w:div w:id="2082367221">
      <w:bodyDiv w:val="1"/>
      <w:marLeft w:val="0"/>
      <w:marRight w:val="0"/>
      <w:marTop w:val="0"/>
      <w:marBottom w:val="0"/>
      <w:divBdr>
        <w:top w:val="none" w:sz="0" w:space="0" w:color="auto"/>
        <w:left w:val="none" w:sz="0" w:space="0" w:color="auto"/>
        <w:bottom w:val="none" w:sz="0" w:space="0" w:color="auto"/>
        <w:right w:val="none" w:sz="0" w:space="0" w:color="auto"/>
      </w:divBdr>
    </w:div>
    <w:div w:id="209539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nttdat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ttdata.com/NTT-DATA-bei-The-Op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65583-E838-420A-8F6D-FAF812BB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3973</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Gabriele Sciuto</dc:creator>
  <cp:lastModifiedBy>Thompson, Tashima</cp:lastModifiedBy>
  <cp:revision>2</cp:revision>
  <cp:lastPrinted>2018-07-30T09:18:00Z</cp:lastPrinted>
  <dcterms:created xsi:type="dcterms:W3CDTF">2020-06-04T10:33:00Z</dcterms:created>
  <dcterms:modified xsi:type="dcterms:W3CDTF">2020-06-04T10:33:00Z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qChecksum">
    <vt:lpwstr>FB348D2358E0DAC1611025119352CCE8</vt:lpwstr>
  </property>
  <property fmtid="{D5CDD505-2E9C-101B-9397-08002B2CF9AE}" pid="3" name="CqInformationType">
    <vt:lpwstr>Working Standard</vt:lpwstr>
  </property>
  <property fmtid="{D5CDD505-2E9C-101B-9397-08002B2CF9AE}" pid="4" name="CqVitality">
    <vt:lpwstr/>
  </property>
  <property fmtid="{D5CDD505-2E9C-101B-9397-08002B2CF9AE}" pid="5" name="CqDisclosureRange">
    <vt:lpwstr/>
  </property>
  <property fmtid="{D5CDD505-2E9C-101B-9397-08002B2CF9AE}" pid="6" name="CqDisclosureRangeStamp">
    <vt:lpwstr/>
  </property>
  <property fmtid="{D5CDD505-2E9C-101B-9397-08002B2CF9AE}" pid="7" name="CqDisclosureRangeLimitation">
    <vt:lpwstr/>
  </property>
  <property fmtid="{D5CDD505-2E9C-101B-9397-08002B2CF9AE}" pid="8" name="CqOwner">
    <vt:lpwstr>Burkef</vt:lpwstr>
  </property>
  <property fmtid="{D5CDD505-2E9C-101B-9397-08002B2CF9AE}" pid="9" name="CqDepartment">
    <vt:lpwstr/>
  </property>
  <property fmtid="{D5CDD505-2E9C-101B-9397-08002B2CF9AE}" pid="10" name="CqCompanyOwner">
    <vt:lpwstr>NTT DATA</vt:lpwstr>
  </property>
</Properties>
</file>