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D6B4" w14:textId="29A980A1" w:rsidR="00E7599E" w:rsidRPr="00BD3690" w:rsidRDefault="00BD3690">
      <w:pPr>
        <w:pStyle w:val="Default"/>
        <w:jc w:val="both"/>
        <w:rPr>
          <w:rFonts w:ascii="Arial" w:hAnsi="Arial" w:cs="Arial"/>
          <w:bCs/>
          <w:color w:val="auto"/>
          <w:sz w:val="20"/>
          <w:szCs w:val="20"/>
          <w:lang w:val="de-DE"/>
        </w:rPr>
      </w:pPr>
      <w:r w:rsidRPr="00BD3690">
        <w:rPr>
          <w:rFonts w:ascii="Arial" w:hAnsi="Arial" w:cs="Arial"/>
          <w:bCs/>
          <w:color w:val="auto"/>
          <w:sz w:val="20"/>
          <w:szCs w:val="20"/>
          <w:lang w:val="de-DE"/>
        </w:rPr>
        <w:t xml:space="preserve">Bericht </w:t>
      </w:r>
      <w:r w:rsidR="0084603D">
        <w:rPr>
          <w:rFonts w:ascii="Arial" w:hAnsi="Arial" w:cs="Arial"/>
          <w:bCs/>
          <w:color w:val="auto"/>
          <w:sz w:val="20"/>
          <w:szCs w:val="20"/>
          <w:lang w:val="de-DE"/>
        </w:rPr>
        <w:t>würdigt</w:t>
      </w:r>
      <w:r w:rsidR="0084603D" w:rsidRPr="00BD3690">
        <w:rPr>
          <w:rFonts w:ascii="Arial" w:hAnsi="Arial" w:cs="Arial"/>
          <w:bCs/>
          <w:color w:val="auto"/>
          <w:sz w:val="20"/>
          <w:szCs w:val="20"/>
          <w:lang w:val="de-DE"/>
        </w:rPr>
        <w:t xml:space="preserve"> </w:t>
      </w:r>
      <w:r w:rsidRPr="00BD3690">
        <w:rPr>
          <w:rFonts w:ascii="Arial" w:eastAsia="Times New Roman" w:hAnsi="Arial" w:cs="Arial"/>
          <w:color w:val="auto"/>
          <w:sz w:val="20"/>
          <w:szCs w:val="20"/>
          <w:lang w:val="de-DE"/>
        </w:rPr>
        <w:t xml:space="preserve">die </w:t>
      </w:r>
      <w:proofErr w:type="spellStart"/>
      <w:r w:rsidRPr="00BD3690">
        <w:rPr>
          <w:rFonts w:ascii="Arial" w:eastAsia="Times New Roman" w:hAnsi="Arial" w:cs="Arial"/>
          <w:color w:val="auto"/>
          <w:sz w:val="20"/>
          <w:szCs w:val="20"/>
          <w:lang w:val="de-DE"/>
        </w:rPr>
        <w:t>Blockchain</w:t>
      </w:r>
      <w:proofErr w:type="spellEnd"/>
      <w:r w:rsidRPr="00BD3690">
        <w:rPr>
          <w:rFonts w:ascii="Arial" w:eastAsia="Times New Roman" w:hAnsi="Arial" w:cs="Arial"/>
          <w:color w:val="auto"/>
          <w:sz w:val="20"/>
          <w:szCs w:val="20"/>
          <w:lang w:val="de-DE"/>
        </w:rPr>
        <w:t>-Reife von NTT DATA, den innovationsorientierten Ansatz und die Beiträge zur globalen Industri</w:t>
      </w:r>
      <w:r w:rsidR="0084603D">
        <w:rPr>
          <w:rFonts w:ascii="Arial" w:eastAsia="Times New Roman" w:hAnsi="Arial" w:cs="Arial"/>
          <w:color w:val="auto"/>
          <w:sz w:val="20"/>
          <w:szCs w:val="20"/>
          <w:lang w:val="de-DE"/>
        </w:rPr>
        <w:t>e</w:t>
      </w:r>
    </w:p>
    <w:p w14:paraId="0FE4D7D6" w14:textId="77777777" w:rsidR="000F0622" w:rsidRDefault="000F0622">
      <w:pPr>
        <w:pStyle w:val="Default"/>
        <w:jc w:val="both"/>
        <w:rPr>
          <w:rFonts w:ascii="Arial" w:hAnsi="Arial" w:cs="Arial"/>
          <w:b/>
          <w:lang w:val="de-DE"/>
        </w:rPr>
      </w:pPr>
    </w:p>
    <w:p w14:paraId="5A8C752B" w14:textId="5AFC4CDD" w:rsidR="00182E62" w:rsidRPr="000F0622" w:rsidRDefault="007F393F">
      <w:pPr>
        <w:pStyle w:val="Default"/>
        <w:jc w:val="both"/>
        <w:rPr>
          <w:rFonts w:ascii="Arial" w:hAnsi="Arial" w:cs="Arial"/>
          <w:b/>
          <w:lang w:val="de-DE"/>
        </w:rPr>
      </w:pPr>
      <w:r w:rsidRPr="000F0622">
        <w:rPr>
          <w:rFonts w:ascii="Arial" w:hAnsi="Arial" w:cs="Arial"/>
          <w:b/>
          <w:lang w:val="de-DE"/>
        </w:rPr>
        <w:t xml:space="preserve">NTT DATA </w:t>
      </w:r>
      <w:r w:rsidR="00BD3690">
        <w:rPr>
          <w:rFonts w:ascii="Arial" w:hAnsi="Arial" w:cs="Arial"/>
          <w:b/>
          <w:lang w:val="de-DE"/>
        </w:rPr>
        <w:t xml:space="preserve">zum dritten Mal in Folge als Branchenführer im </w:t>
      </w:r>
      <w:proofErr w:type="spellStart"/>
      <w:r w:rsidR="00BD3690">
        <w:rPr>
          <w:rFonts w:ascii="Arial" w:hAnsi="Arial" w:cs="Arial"/>
          <w:b/>
          <w:lang w:val="de-DE"/>
        </w:rPr>
        <w:t>Avasant</w:t>
      </w:r>
      <w:proofErr w:type="spellEnd"/>
      <w:r w:rsidR="00BD3690">
        <w:rPr>
          <w:rFonts w:ascii="Arial" w:hAnsi="Arial" w:cs="Arial"/>
          <w:b/>
          <w:lang w:val="de-DE"/>
        </w:rPr>
        <w:t xml:space="preserve"> </w:t>
      </w:r>
      <w:proofErr w:type="spellStart"/>
      <w:r w:rsidR="00BD3690">
        <w:rPr>
          <w:rFonts w:ascii="Arial" w:hAnsi="Arial" w:cs="Arial"/>
          <w:b/>
          <w:lang w:val="de-DE"/>
        </w:rPr>
        <w:t>Blockchain</w:t>
      </w:r>
      <w:proofErr w:type="spellEnd"/>
      <w:r w:rsidR="00BD3690">
        <w:rPr>
          <w:rFonts w:ascii="Arial" w:hAnsi="Arial" w:cs="Arial"/>
          <w:b/>
          <w:lang w:val="de-DE"/>
        </w:rPr>
        <w:t xml:space="preserve"> Services </w:t>
      </w:r>
      <w:proofErr w:type="spellStart"/>
      <w:r w:rsidR="00BD3690">
        <w:rPr>
          <w:rFonts w:ascii="Arial" w:hAnsi="Arial" w:cs="Arial"/>
          <w:b/>
          <w:lang w:val="de-DE"/>
        </w:rPr>
        <w:t>RadarView</w:t>
      </w:r>
      <w:proofErr w:type="spellEnd"/>
      <w:r w:rsidR="00BD3690">
        <w:rPr>
          <w:rFonts w:ascii="Arial" w:hAnsi="Arial" w:cs="Arial"/>
          <w:b/>
          <w:lang w:val="de-DE"/>
        </w:rPr>
        <w:t xml:space="preserve"> ausgezeichnet</w:t>
      </w:r>
    </w:p>
    <w:p w14:paraId="4F4A0C55" w14:textId="77777777" w:rsidR="007F393F" w:rsidRPr="000F0622" w:rsidRDefault="007F393F">
      <w:pPr>
        <w:pStyle w:val="Default"/>
        <w:jc w:val="both"/>
        <w:rPr>
          <w:rFonts w:ascii="Arial" w:hAnsi="Arial" w:cs="Arial"/>
          <w:b/>
          <w:sz w:val="20"/>
          <w:lang w:val="de-DE"/>
        </w:rPr>
      </w:pPr>
    </w:p>
    <w:p w14:paraId="15D9C38D" w14:textId="734C9AD4" w:rsidR="00BD3690" w:rsidRPr="00BD3690" w:rsidRDefault="00A53BEE" w:rsidP="00BD3690">
      <w:pPr>
        <w:jc w:val="both"/>
        <w:rPr>
          <w:rFonts w:eastAsia="Times New Roman" w:cstheme="minorHAnsi"/>
          <w:color w:val="auto"/>
          <w:lang w:val="de-DE"/>
        </w:rPr>
      </w:pPr>
      <w:r w:rsidRPr="00BD3690">
        <w:rPr>
          <w:rFonts w:cs="Arial"/>
          <w:b/>
          <w:color w:val="auto"/>
          <w:lang w:val="de-DE"/>
        </w:rPr>
        <w:t>München</w:t>
      </w:r>
      <w:r w:rsidR="00F550F6" w:rsidRPr="00BD3690">
        <w:rPr>
          <w:rFonts w:cs="Arial"/>
          <w:b/>
          <w:color w:val="auto"/>
          <w:lang w:val="de-DE"/>
        </w:rPr>
        <w:t>,</w:t>
      </w:r>
      <w:r w:rsidR="00182E62" w:rsidRPr="00BD3690">
        <w:rPr>
          <w:rFonts w:cs="Arial"/>
          <w:b/>
          <w:color w:val="auto"/>
          <w:lang w:val="de-DE"/>
        </w:rPr>
        <w:t xml:space="preserve"> </w:t>
      </w:r>
      <w:r w:rsidR="001F1DF5">
        <w:rPr>
          <w:rFonts w:cs="Arial"/>
          <w:b/>
          <w:color w:val="auto"/>
          <w:lang w:val="de-DE"/>
        </w:rPr>
        <w:t>0</w:t>
      </w:r>
      <w:r w:rsidR="008770A2">
        <w:rPr>
          <w:rFonts w:cs="Arial"/>
          <w:b/>
          <w:color w:val="auto"/>
          <w:lang w:val="de-DE"/>
        </w:rPr>
        <w:t>3</w:t>
      </w:r>
      <w:bookmarkStart w:id="0" w:name="_GoBack"/>
      <w:bookmarkEnd w:id="0"/>
      <w:r w:rsidR="001F1DF5">
        <w:rPr>
          <w:rFonts w:cs="Arial"/>
          <w:b/>
          <w:color w:val="auto"/>
          <w:lang w:val="de-DE"/>
        </w:rPr>
        <w:t>. Februar</w:t>
      </w:r>
      <w:r w:rsidR="00BD3690" w:rsidRPr="00BD3690">
        <w:rPr>
          <w:rFonts w:cs="Arial"/>
          <w:b/>
          <w:color w:val="auto"/>
          <w:lang w:val="de-DE"/>
        </w:rPr>
        <w:t xml:space="preserve"> 2021</w:t>
      </w:r>
      <w:r w:rsidRPr="00BD3690">
        <w:rPr>
          <w:rFonts w:cs="Arial"/>
          <w:color w:val="auto"/>
          <w:lang w:val="de-DE"/>
        </w:rPr>
        <w:t xml:space="preserve"> </w:t>
      </w:r>
      <w:r w:rsidRPr="00BD3245">
        <w:rPr>
          <w:rFonts w:cs="Arial"/>
          <w:color w:val="auto"/>
          <w:szCs w:val="20"/>
          <w:lang w:val="de-DE"/>
        </w:rPr>
        <w:t>–</w:t>
      </w:r>
      <w:r w:rsidR="007F393F" w:rsidRPr="00BD3245">
        <w:rPr>
          <w:rFonts w:cs="Arial"/>
          <w:color w:val="auto"/>
          <w:szCs w:val="20"/>
          <w:lang w:val="de-DE"/>
        </w:rPr>
        <w:t xml:space="preserve"> </w:t>
      </w:r>
      <w:r w:rsidR="00BD3690" w:rsidRPr="00BD3245">
        <w:rPr>
          <w:rFonts w:cs="Arial"/>
          <w:color w:val="auto"/>
          <w:szCs w:val="20"/>
          <w:lang w:val="de-DE"/>
        </w:rPr>
        <w:t xml:space="preserve">NTT DATA, </w:t>
      </w:r>
      <w:r w:rsidR="00C63CAE">
        <w:rPr>
          <w:rFonts w:cs="Arial"/>
          <w:color w:val="auto"/>
          <w:szCs w:val="20"/>
          <w:lang w:val="de-DE"/>
        </w:rPr>
        <w:t>führender Anbieter von Business- und IT-Lösungen</w:t>
      </w:r>
      <w:r w:rsidR="00BD3690" w:rsidRPr="00BD3690">
        <w:rPr>
          <w:rFonts w:eastAsia="Times New Roman" w:cstheme="minorHAnsi"/>
          <w:color w:val="auto"/>
          <w:lang w:val="de-DE"/>
        </w:rPr>
        <w:t xml:space="preserve">, </w:t>
      </w:r>
      <w:r w:rsidR="001509B8" w:rsidRPr="001509B8">
        <w:rPr>
          <w:rFonts w:eastAsia="Times New Roman" w:cstheme="minorHAnsi"/>
          <w:color w:val="auto"/>
          <w:lang w:val="de-DE"/>
        </w:rPr>
        <w:t xml:space="preserve">wurde </w:t>
      </w:r>
      <w:r w:rsidR="001509B8" w:rsidRPr="00BD3690">
        <w:rPr>
          <w:rFonts w:eastAsia="Times New Roman" w:cstheme="minorHAnsi"/>
          <w:color w:val="auto"/>
          <w:lang w:val="de-DE"/>
        </w:rPr>
        <w:t xml:space="preserve">im </w:t>
      </w:r>
      <w:hyperlink r:id="rId8" w:history="1">
        <w:proofErr w:type="spellStart"/>
        <w:r w:rsidR="001509B8" w:rsidRPr="00D133EC">
          <w:rPr>
            <w:rStyle w:val="Hyperlink"/>
            <w:rFonts w:cs="Arial"/>
            <w:szCs w:val="20"/>
            <w:lang w:val="de-DE"/>
          </w:rPr>
          <w:t>Blockchain</w:t>
        </w:r>
        <w:proofErr w:type="spellEnd"/>
        <w:r w:rsidR="001509B8" w:rsidRPr="00D133EC">
          <w:rPr>
            <w:rStyle w:val="Hyperlink"/>
            <w:rFonts w:cs="Arial"/>
            <w:szCs w:val="20"/>
            <w:lang w:val="de-DE"/>
          </w:rPr>
          <w:t xml:space="preserve"> Services </w:t>
        </w:r>
        <w:proofErr w:type="spellStart"/>
        <w:r w:rsidR="001509B8" w:rsidRPr="00D133EC">
          <w:rPr>
            <w:rStyle w:val="Hyperlink"/>
            <w:rFonts w:cs="Arial"/>
            <w:szCs w:val="20"/>
            <w:lang w:val="de-DE"/>
          </w:rPr>
          <w:t>RadarView</w:t>
        </w:r>
        <w:proofErr w:type="spellEnd"/>
        <w:r w:rsidR="001509B8" w:rsidRPr="00D133EC">
          <w:rPr>
            <w:rStyle w:val="Hyperlink"/>
            <w:rFonts w:cs="Arial"/>
            <w:szCs w:val="20"/>
            <w:lang w:val="de-DE"/>
          </w:rPr>
          <w:t xml:space="preserve">™ Bericht 2020 von </w:t>
        </w:r>
        <w:proofErr w:type="spellStart"/>
        <w:r w:rsidR="001509B8" w:rsidRPr="00D133EC">
          <w:rPr>
            <w:rStyle w:val="Hyperlink"/>
            <w:rFonts w:cs="Arial"/>
            <w:szCs w:val="20"/>
            <w:lang w:val="de-DE"/>
          </w:rPr>
          <w:t>Avasant</w:t>
        </w:r>
        <w:proofErr w:type="spellEnd"/>
      </w:hyperlink>
      <w:r w:rsidR="00D133EC">
        <w:rPr>
          <w:rFonts w:cs="Arial"/>
          <w:color w:val="auto"/>
          <w:szCs w:val="20"/>
          <w:lang w:val="de-DE"/>
        </w:rPr>
        <w:t xml:space="preserve"> </w:t>
      </w:r>
      <w:r w:rsidR="001509B8" w:rsidRPr="006A2B5B">
        <w:rPr>
          <w:rFonts w:cs="Arial"/>
          <w:color w:val="auto"/>
          <w:szCs w:val="20"/>
          <w:lang w:val="de-DE"/>
        </w:rPr>
        <w:t>als</w:t>
      </w:r>
      <w:r w:rsidR="001509B8" w:rsidRPr="00BD3690">
        <w:rPr>
          <w:rFonts w:eastAsia="Times New Roman" w:cstheme="minorHAnsi"/>
          <w:color w:val="auto"/>
          <w:lang w:val="de-DE"/>
        </w:rPr>
        <w:t xml:space="preserve"> Branchenführer ausgezeichnet</w:t>
      </w:r>
      <w:r w:rsidR="001509B8">
        <w:rPr>
          <w:rFonts w:eastAsia="Times New Roman" w:cstheme="minorHAnsi"/>
          <w:color w:val="auto"/>
          <w:lang w:val="de-DE"/>
        </w:rPr>
        <w:t>.</w:t>
      </w:r>
      <w:r w:rsidR="001509B8" w:rsidRPr="00BD3690">
        <w:rPr>
          <w:rFonts w:eastAsia="Times New Roman" w:cstheme="minorHAnsi"/>
          <w:color w:val="auto"/>
          <w:lang w:val="de-DE"/>
        </w:rPr>
        <w:t xml:space="preserve"> </w:t>
      </w:r>
      <w:r w:rsidR="001720A4">
        <w:rPr>
          <w:rFonts w:eastAsia="Times New Roman" w:cstheme="minorHAnsi"/>
          <w:color w:val="auto"/>
          <w:lang w:val="de-DE"/>
        </w:rPr>
        <w:t>Der Bericht stellt die</w:t>
      </w:r>
      <w:r w:rsidR="00BD3690" w:rsidRPr="00BD3690">
        <w:rPr>
          <w:rFonts w:eastAsia="Times New Roman" w:cstheme="minorHAnsi"/>
          <w:color w:val="auto"/>
          <w:lang w:val="de-DE"/>
        </w:rPr>
        <w:t xml:space="preserve"> IT-Dienstleister mit den wirkungsvollsten </w:t>
      </w:r>
      <w:proofErr w:type="spellStart"/>
      <w:r w:rsidR="00BD3690" w:rsidRPr="00BD3690">
        <w:rPr>
          <w:rFonts w:eastAsia="Times New Roman" w:cstheme="minorHAnsi"/>
          <w:color w:val="auto"/>
          <w:lang w:val="de-DE"/>
        </w:rPr>
        <w:t>Blockchain</w:t>
      </w:r>
      <w:proofErr w:type="spellEnd"/>
      <w:r w:rsidR="00BD3690" w:rsidRPr="00BD3690">
        <w:rPr>
          <w:rFonts w:eastAsia="Times New Roman" w:cstheme="minorHAnsi"/>
          <w:color w:val="auto"/>
          <w:lang w:val="de-DE"/>
        </w:rPr>
        <w:t>-Implementierungen und -Strategien im vergangenen Jahr vor.</w:t>
      </w:r>
    </w:p>
    <w:p w14:paraId="5E2FC6F9" w14:textId="38A174A6" w:rsidR="00BD3690" w:rsidRPr="00BD3690" w:rsidRDefault="00BD3690" w:rsidP="00BD3690">
      <w:pPr>
        <w:jc w:val="both"/>
        <w:rPr>
          <w:rFonts w:ascii="Calibri" w:hAnsi="Calibri" w:cs="Calibri"/>
          <w:color w:val="auto"/>
          <w:lang w:val="de-DE"/>
        </w:rPr>
      </w:pPr>
      <w:r w:rsidRPr="00BD3690">
        <w:rPr>
          <w:rFonts w:eastAsia="Times New Roman" w:cstheme="minorHAnsi"/>
          <w:color w:val="auto"/>
          <w:lang w:val="de-DE"/>
        </w:rPr>
        <w:t xml:space="preserve">NTT DATA </w:t>
      </w:r>
      <w:r w:rsidR="003139E1">
        <w:rPr>
          <w:rFonts w:eastAsia="Times New Roman" w:cstheme="minorHAnsi"/>
          <w:color w:val="auto"/>
          <w:lang w:val="de-DE"/>
        </w:rPr>
        <w:t>platzierte sich</w:t>
      </w:r>
      <w:r w:rsidR="003139E1" w:rsidRPr="00BD3690">
        <w:rPr>
          <w:rFonts w:eastAsia="Times New Roman" w:cstheme="minorHAnsi"/>
          <w:color w:val="auto"/>
          <w:lang w:val="de-DE"/>
        </w:rPr>
        <w:t xml:space="preserve"> </w:t>
      </w:r>
      <w:r w:rsidRPr="00BD3690">
        <w:rPr>
          <w:rFonts w:eastAsia="Times New Roman" w:cstheme="minorHAnsi"/>
          <w:color w:val="auto"/>
          <w:lang w:val="de-DE"/>
        </w:rPr>
        <w:t xml:space="preserve">zum dritten Mal in Folge in der Top-Kategorie von </w:t>
      </w:r>
      <w:proofErr w:type="spellStart"/>
      <w:r w:rsidRPr="00BD3690">
        <w:rPr>
          <w:rFonts w:eastAsia="Times New Roman" w:cstheme="minorHAnsi"/>
          <w:color w:val="auto"/>
          <w:lang w:val="de-DE"/>
        </w:rPr>
        <w:t>Avasant</w:t>
      </w:r>
      <w:proofErr w:type="spellEnd"/>
      <w:r w:rsidR="00771DE0">
        <w:rPr>
          <w:rFonts w:eastAsia="Times New Roman" w:cstheme="minorHAnsi"/>
          <w:color w:val="auto"/>
          <w:lang w:val="de-DE"/>
        </w:rPr>
        <w:t xml:space="preserve">. Ausschlaggebend waren </w:t>
      </w:r>
      <w:r w:rsidR="00727933">
        <w:rPr>
          <w:rFonts w:eastAsia="Times New Roman" w:cstheme="minorHAnsi"/>
          <w:color w:val="auto"/>
          <w:lang w:val="de-DE"/>
        </w:rPr>
        <w:t>da</w:t>
      </w:r>
      <w:r w:rsidRPr="00BD3690">
        <w:rPr>
          <w:rFonts w:eastAsia="Times New Roman" w:cstheme="minorHAnsi"/>
          <w:color w:val="auto"/>
          <w:lang w:val="de-DE"/>
        </w:rPr>
        <w:t xml:space="preserve">für die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-Praxisreife, de</w:t>
      </w:r>
      <w:r w:rsidR="009C1D1E">
        <w:rPr>
          <w:rFonts w:eastAsia="Times New Roman" w:cstheme="minorHAnsi"/>
          <w:color w:val="auto"/>
          <w:lang w:val="de-DE"/>
        </w:rPr>
        <w:t>r</w:t>
      </w:r>
      <w:r w:rsidRPr="00BD3690">
        <w:rPr>
          <w:rFonts w:eastAsia="Times New Roman" w:cstheme="minorHAnsi"/>
          <w:color w:val="auto"/>
          <w:lang w:val="de-DE"/>
        </w:rPr>
        <w:t xml:space="preserve"> innovationsorientierte Ansatz und die Beiträge zur globalen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-Industrie. Der Bericht </w:t>
      </w:r>
      <w:r w:rsidR="003605F0">
        <w:rPr>
          <w:rFonts w:eastAsia="Times New Roman" w:cstheme="minorHAnsi"/>
          <w:color w:val="auto"/>
          <w:lang w:val="de-DE"/>
        </w:rPr>
        <w:t>hebt</w:t>
      </w:r>
      <w:r w:rsidR="003605F0" w:rsidRPr="00BD3690">
        <w:rPr>
          <w:rFonts w:eastAsia="Times New Roman" w:cstheme="minorHAnsi"/>
          <w:color w:val="auto"/>
          <w:lang w:val="de-DE"/>
        </w:rPr>
        <w:t xml:space="preserve"> </w:t>
      </w:r>
      <w:r w:rsidRPr="00BD3690">
        <w:rPr>
          <w:rFonts w:eastAsia="Times New Roman" w:cstheme="minorHAnsi"/>
          <w:color w:val="auto"/>
          <w:lang w:val="de-DE"/>
        </w:rPr>
        <w:t>auch eine Reihe von Kundenanwendungsfällen hervor</w:t>
      </w:r>
      <w:r w:rsidR="003D188B">
        <w:rPr>
          <w:rFonts w:eastAsia="Times New Roman" w:cstheme="minorHAnsi"/>
          <w:color w:val="auto"/>
          <w:lang w:val="de-DE"/>
        </w:rPr>
        <w:t>.</w:t>
      </w:r>
      <w:r w:rsidRPr="00BD3690">
        <w:rPr>
          <w:rFonts w:eastAsia="Times New Roman" w:cstheme="minorHAnsi"/>
          <w:color w:val="auto"/>
          <w:lang w:val="de-DE"/>
        </w:rPr>
        <w:t xml:space="preserve"> </w:t>
      </w:r>
      <w:r w:rsidR="003D188B">
        <w:rPr>
          <w:rFonts w:eastAsia="Times New Roman" w:cstheme="minorHAnsi"/>
          <w:color w:val="auto"/>
          <w:lang w:val="de-DE"/>
        </w:rPr>
        <w:t>Dazu gehört die</w:t>
      </w:r>
      <w:r w:rsidRPr="00BD3690">
        <w:rPr>
          <w:rFonts w:eastAsia="Times New Roman" w:cstheme="minorHAnsi"/>
          <w:color w:val="auto"/>
          <w:lang w:val="de-DE"/>
        </w:rPr>
        <w:t xml:space="preserve"> Zusammenarbeit mit dem italienischen Bankenverban</w:t>
      </w:r>
      <w:r w:rsidR="00FE6AAE">
        <w:rPr>
          <w:rFonts w:eastAsia="Times New Roman" w:cstheme="minorHAnsi"/>
          <w:color w:val="auto"/>
          <w:lang w:val="de-DE"/>
        </w:rPr>
        <w:t>d</w:t>
      </w:r>
      <w:r w:rsidRPr="00BD3690">
        <w:rPr>
          <w:rFonts w:eastAsia="Times New Roman" w:cstheme="minorHAnsi"/>
          <w:color w:val="auto"/>
          <w:lang w:val="de-DE"/>
        </w:rPr>
        <w:t xml:space="preserve"> </w:t>
      </w:r>
      <w:r w:rsidR="00FE6AAE">
        <w:rPr>
          <w:rFonts w:eastAsia="Times New Roman" w:cstheme="minorHAnsi"/>
          <w:color w:val="auto"/>
          <w:lang w:val="de-DE"/>
        </w:rPr>
        <w:t xml:space="preserve">an </w:t>
      </w:r>
      <w:r w:rsidRPr="00BD3690">
        <w:rPr>
          <w:rFonts w:eastAsia="Times New Roman" w:cstheme="minorHAnsi"/>
          <w:color w:val="auto"/>
          <w:lang w:val="de-DE"/>
        </w:rPr>
        <w:t>eine</w:t>
      </w:r>
      <w:r w:rsidR="00FE6AAE">
        <w:rPr>
          <w:rFonts w:eastAsia="Times New Roman" w:cstheme="minorHAnsi"/>
          <w:color w:val="auto"/>
          <w:lang w:val="de-DE"/>
        </w:rPr>
        <w:t>r</w:t>
      </w:r>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Corda</w:t>
      </w:r>
      <w:proofErr w:type="spellEnd"/>
      <w:r w:rsidRPr="00BD3690">
        <w:rPr>
          <w:rFonts w:eastAsia="Times New Roman" w:cstheme="minorHAnsi"/>
          <w:color w:val="auto"/>
          <w:lang w:val="de-DE"/>
        </w:rPr>
        <w:t>-basierte</w:t>
      </w:r>
      <w:r w:rsidR="00C63CAE">
        <w:rPr>
          <w:rFonts w:eastAsia="Times New Roman" w:cstheme="minorHAnsi"/>
          <w:color w:val="auto"/>
          <w:lang w:val="de-DE"/>
        </w:rPr>
        <w:t>n</w:t>
      </w:r>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-Lösung für den Interbankenabgleich </w:t>
      </w:r>
      <w:r w:rsidR="00712D84">
        <w:rPr>
          <w:rFonts w:eastAsia="Times New Roman" w:cstheme="minorHAnsi"/>
          <w:color w:val="auto"/>
          <w:lang w:val="de-DE"/>
        </w:rPr>
        <w:t>der</w:t>
      </w:r>
      <w:r w:rsidRPr="00BD3690">
        <w:rPr>
          <w:rFonts w:eastAsia="Times New Roman" w:cstheme="minorHAnsi"/>
          <w:color w:val="auto"/>
          <w:lang w:val="de-DE"/>
        </w:rPr>
        <w:t xml:space="preserve"> gesamte</w:t>
      </w:r>
      <w:r w:rsidR="006B5988">
        <w:rPr>
          <w:rFonts w:eastAsia="Times New Roman" w:cstheme="minorHAnsi"/>
          <w:color w:val="auto"/>
          <w:lang w:val="de-DE"/>
        </w:rPr>
        <w:t>n</w:t>
      </w:r>
      <w:r w:rsidRPr="00BD3690">
        <w:rPr>
          <w:rFonts w:eastAsia="Times New Roman" w:cstheme="minorHAnsi"/>
          <w:color w:val="auto"/>
          <w:lang w:val="de-DE"/>
        </w:rPr>
        <w:t xml:space="preserve"> Bankenbranche in Italien.</w:t>
      </w:r>
    </w:p>
    <w:p w14:paraId="69F1149F" w14:textId="00450BF8" w:rsidR="00BD3690" w:rsidRPr="00BD3690" w:rsidRDefault="00BD3690" w:rsidP="00BD3690">
      <w:pPr>
        <w:jc w:val="both"/>
        <w:rPr>
          <w:rFonts w:eastAsia="Times New Roman" w:cstheme="minorHAnsi"/>
          <w:color w:val="auto"/>
          <w:lang w:val="de-DE"/>
        </w:rPr>
      </w:pPr>
      <w:r w:rsidRPr="00BD3690">
        <w:rPr>
          <w:rFonts w:eastAsia="Times New Roman" w:cstheme="minorHAnsi"/>
          <w:color w:val="auto"/>
          <w:lang w:val="de-DE"/>
        </w:rPr>
        <w:t xml:space="preserve">„NTT DATA hat schon früh, im Jahr 2015, eine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-Abteilung gegründet, weil wir das Potenzial der Technologie sahen, einen greifbaren Wert für Kunden zu schaffen und die Gesellschaft wirklich zu verändern“, sagt </w:t>
      </w:r>
      <w:proofErr w:type="spellStart"/>
      <w:r w:rsidRPr="00BD3690">
        <w:rPr>
          <w:rFonts w:eastAsia="Times New Roman" w:cstheme="minorHAnsi"/>
          <w:color w:val="auto"/>
          <w:lang w:val="de-DE"/>
        </w:rPr>
        <w:t>Toshi</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Fujiwara</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Representative</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Director</w:t>
      </w:r>
      <w:proofErr w:type="spellEnd"/>
      <w:r w:rsidRPr="00BD3690">
        <w:rPr>
          <w:rFonts w:eastAsia="Times New Roman" w:cstheme="minorHAnsi"/>
          <w:color w:val="auto"/>
          <w:lang w:val="de-DE"/>
        </w:rPr>
        <w:t xml:space="preserve"> &amp; Senior Executive </w:t>
      </w:r>
      <w:proofErr w:type="spellStart"/>
      <w:r w:rsidRPr="00BD3690">
        <w:rPr>
          <w:rFonts w:eastAsia="Times New Roman" w:cstheme="minorHAnsi"/>
          <w:color w:val="auto"/>
          <w:lang w:val="de-DE"/>
        </w:rPr>
        <w:t>Vice</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President</w:t>
      </w:r>
      <w:proofErr w:type="spellEnd"/>
      <w:r w:rsidR="00C63CAE">
        <w:rPr>
          <w:rFonts w:eastAsia="Times New Roman" w:cstheme="minorHAnsi"/>
          <w:color w:val="auto"/>
          <w:lang w:val="de-DE"/>
        </w:rPr>
        <w:t>,</w:t>
      </w:r>
      <w:r w:rsidRPr="00BD3690">
        <w:rPr>
          <w:rFonts w:eastAsia="Times New Roman" w:cstheme="minorHAnsi"/>
          <w:color w:val="auto"/>
          <w:lang w:val="de-DE"/>
        </w:rPr>
        <w:t xml:space="preserve"> CTO, CKO, CISO, CFO, CHRO, CRO</w:t>
      </w:r>
      <w:r w:rsidR="00C63CAE">
        <w:rPr>
          <w:rFonts w:eastAsia="Times New Roman" w:cstheme="minorHAnsi"/>
          <w:color w:val="auto"/>
          <w:lang w:val="de-DE"/>
        </w:rPr>
        <w:t xml:space="preserve"> von</w:t>
      </w:r>
      <w:r w:rsidRPr="00BD3690">
        <w:rPr>
          <w:rFonts w:eastAsia="Times New Roman" w:cstheme="minorHAnsi"/>
          <w:color w:val="auto"/>
          <w:lang w:val="de-DE"/>
        </w:rPr>
        <w:t xml:space="preserve"> NTT DATA. „Die erneute Auszeichnung als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-Branchenführer zeigt, dass wir über die Expertise, die Fähigkeiten und die technologischen Assets verfügen, Kunden bei der Entwicklung von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-Lösungen zu unterstützen</w:t>
      </w:r>
      <w:r w:rsidR="00F2201B">
        <w:rPr>
          <w:rFonts w:eastAsia="Times New Roman" w:cstheme="minorHAnsi"/>
          <w:color w:val="auto"/>
          <w:lang w:val="de-DE"/>
        </w:rPr>
        <w:t xml:space="preserve"> und</w:t>
      </w:r>
      <w:r w:rsidR="00BC7C79">
        <w:rPr>
          <w:rFonts w:eastAsia="Times New Roman" w:cstheme="minorHAnsi"/>
          <w:color w:val="auto"/>
          <w:lang w:val="de-DE"/>
        </w:rPr>
        <w:t xml:space="preserve"> </w:t>
      </w:r>
      <w:r w:rsidRPr="00BD3690">
        <w:rPr>
          <w:rFonts w:eastAsia="Times New Roman" w:cstheme="minorHAnsi"/>
          <w:color w:val="auto"/>
          <w:lang w:val="de-DE"/>
        </w:rPr>
        <w:t xml:space="preserve">einen Wettbewerbsvorteil </w:t>
      </w:r>
      <w:r w:rsidR="00BC7C79">
        <w:rPr>
          <w:rFonts w:eastAsia="Times New Roman" w:cstheme="minorHAnsi"/>
          <w:color w:val="auto"/>
          <w:lang w:val="de-DE"/>
        </w:rPr>
        <w:t xml:space="preserve">zu </w:t>
      </w:r>
      <w:r w:rsidRPr="00BD3690">
        <w:rPr>
          <w:rFonts w:eastAsia="Times New Roman" w:cstheme="minorHAnsi"/>
          <w:color w:val="auto"/>
          <w:lang w:val="de-DE"/>
        </w:rPr>
        <w:t>erzeugen.“</w:t>
      </w:r>
    </w:p>
    <w:p w14:paraId="60B1139E" w14:textId="0302EA38" w:rsidR="00BD3690" w:rsidRPr="00BD3690" w:rsidRDefault="00BD3690" w:rsidP="00BD3690">
      <w:pPr>
        <w:jc w:val="both"/>
        <w:rPr>
          <w:rFonts w:eastAsia="Times New Roman" w:cstheme="minorHAnsi"/>
          <w:color w:val="auto"/>
          <w:lang w:val="de-DE"/>
        </w:rPr>
      </w:pPr>
      <w:r w:rsidRPr="00BD3690">
        <w:rPr>
          <w:rFonts w:eastAsia="Times New Roman" w:cstheme="minorHAnsi"/>
          <w:color w:val="auto"/>
          <w:lang w:val="de-DE"/>
        </w:rPr>
        <w:t xml:space="preserve">Die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-Abteilung von NTT DATA beschäftigt weltweit mehr als 500 Technologie</w:t>
      </w:r>
      <w:r w:rsidR="005103C7">
        <w:rPr>
          <w:rFonts w:eastAsia="Times New Roman" w:cstheme="minorHAnsi"/>
          <w:color w:val="auto"/>
          <w:lang w:val="de-DE"/>
        </w:rPr>
        <w:t>-E</w:t>
      </w:r>
      <w:r w:rsidR="00F2201B">
        <w:rPr>
          <w:rFonts w:eastAsia="Times New Roman" w:cstheme="minorHAnsi"/>
          <w:color w:val="auto"/>
          <w:lang w:val="de-DE"/>
        </w:rPr>
        <w:t>xpertinnen und -Experten</w:t>
      </w:r>
      <w:r w:rsidRPr="00BD3690">
        <w:rPr>
          <w:rFonts w:eastAsia="Times New Roman" w:cstheme="minorHAnsi"/>
          <w:color w:val="auto"/>
          <w:lang w:val="de-DE"/>
        </w:rPr>
        <w:t xml:space="preserve"> in über 20 Ländern und betreut mehr als 90 Kunden. Das Unternehmen betreibt vier Innovationslabore, darunter ein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-Exzellen</w:t>
      </w:r>
      <w:r w:rsidR="00F2201B">
        <w:rPr>
          <w:rFonts w:eastAsia="Times New Roman" w:cstheme="minorHAnsi"/>
          <w:color w:val="auto"/>
          <w:lang w:val="de-DE"/>
        </w:rPr>
        <w:t>z</w:t>
      </w:r>
      <w:r w:rsidR="00C63CAE">
        <w:rPr>
          <w:rFonts w:eastAsia="Times New Roman" w:cstheme="minorHAnsi"/>
          <w:color w:val="auto"/>
          <w:lang w:val="de-DE"/>
        </w:rPr>
        <w:t>-Z</w:t>
      </w:r>
      <w:r w:rsidRPr="00BD3690">
        <w:rPr>
          <w:rFonts w:eastAsia="Times New Roman" w:cstheme="minorHAnsi"/>
          <w:color w:val="auto"/>
          <w:lang w:val="de-DE"/>
        </w:rPr>
        <w:t xml:space="preserve">entrum für die globale Bereitstellung von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-Dienstleistungen. NTT DATA verzeichnete im vergangenen Jahr ein Kundenwachstum von </w:t>
      </w:r>
      <w:r w:rsidR="00081229">
        <w:rPr>
          <w:rFonts w:eastAsia="Times New Roman" w:cstheme="minorHAnsi"/>
          <w:color w:val="auto"/>
          <w:lang w:val="de-DE"/>
        </w:rPr>
        <w:t>fast</w:t>
      </w:r>
      <w:r w:rsidRPr="00BD3690">
        <w:rPr>
          <w:rFonts w:eastAsia="Times New Roman" w:cstheme="minorHAnsi"/>
          <w:color w:val="auto"/>
          <w:lang w:val="de-DE"/>
        </w:rPr>
        <w:t xml:space="preserve"> 50 </w:t>
      </w:r>
      <w:r w:rsidR="00081229">
        <w:rPr>
          <w:rFonts w:eastAsia="Times New Roman" w:cstheme="minorHAnsi"/>
          <w:color w:val="auto"/>
          <w:lang w:val="de-DE"/>
        </w:rPr>
        <w:t>Prozent</w:t>
      </w:r>
      <w:r w:rsidRPr="00BD3690">
        <w:rPr>
          <w:rFonts w:eastAsia="Times New Roman" w:cstheme="minorHAnsi"/>
          <w:color w:val="auto"/>
          <w:lang w:val="de-DE"/>
        </w:rPr>
        <w:t xml:space="preserve"> bei seinen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-Services, da die Nachfrage und die Anwendungsfälle für die innovative Technologie weiter zunehmen.</w:t>
      </w:r>
    </w:p>
    <w:p w14:paraId="044A77E8" w14:textId="54C417DF" w:rsidR="00BD3690" w:rsidRPr="00BD3690" w:rsidRDefault="00BD3690" w:rsidP="00BD3690">
      <w:pPr>
        <w:jc w:val="both"/>
        <w:rPr>
          <w:rFonts w:eastAsia="Times New Roman" w:cstheme="minorHAnsi"/>
          <w:color w:val="auto"/>
          <w:lang w:val="de-DE"/>
        </w:rPr>
      </w:pPr>
      <w:r w:rsidRPr="00BD3690">
        <w:rPr>
          <w:rFonts w:eastAsia="Times New Roman" w:cstheme="minorHAnsi"/>
          <w:color w:val="auto"/>
          <w:lang w:val="de-DE"/>
        </w:rPr>
        <w:t xml:space="preserve">Als Mitbegründer mehrerer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-Konsortien trägt NTT DATA zu Projekten bei, die auf einflussreichen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-Technologien wie </w:t>
      </w:r>
      <w:proofErr w:type="spellStart"/>
      <w:r w:rsidRPr="00BD3690">
        <w:rPr>
          <w:rFonts w:eastAsia="Times New Roman" w:cstheme="minorHAnsi"/>
          <w:color w:val="auto"/>
          <w:lang w:val="de-DE"/>
        </w:rPr>
        <w:t>Hyperledger</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Ethereum</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Corda</w:t>
      </w:r>
      <w:proofErr w:type="spellEnd"/>
      <w:r w:rsidRPr="00BD3690">
        <w:rPr>
          <w:rFonts w:eastAsia="Times New Roman" w:cstheme="minorHAnsi"/>
          <w:color w:val="auto"/>
          <w:lang w:val="de-DE"/>
        </w:rPr>
        <w:t xml:space="preserve"> und Ripple basieren. Zu den hauseigenen Plattformen gehören BlockTrace4Sharing, das Spenden verwaltet, verfolgt und validiert, und die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w:t>
      </w:r>
      <w:proofErr w:type="spellStart"/>
      <w:r w:rsidRPr="00BD3690">
        <w:rPr>
          <w:rFonts w:eastAsia="Times New Roman" w:cstheme="minorHAnsi"/>
          <w:color w:val="auto"/>
          <w:lang w:val="de-DE"/>
        </w:rPr>
        <w:t>Reconciliation</w:t>
      </w:r>
      <w:proofErr w:type="spellEnd"/>
      <w:r w:rsidRPr="00BD3690">
        <w:rPr>
          <w:rFonts w:eastAsia="Times New Roman" w:cstheme="minorHAnsi"/>
          <w:color w:val="auto"/>
          <w:lang w:val="de-DE"/>
        </w:rPr>
        <w:t>-Plattform, die Unternehmen dabei hilft, finanzielle und nicht-finanzielle Transaktionen in Echtzeit zu verrechnen.</w:t>
      </w:r>
    </w:p>
    <w:p w14:paraId="37E6BB26" w14:textId="21E01972" w:rsidR="00BD3690" w:rsidRPr="00BD3690" w:rsidRDefault="00BD3690" w:rsidP="00BD3690">
      <w:pPr>
        <w:jc w:val="both"/>
        <w:rPr>
          <w:rFonts w:eastAsia="Times New Roman" w:cstheme="minorHAnsi"/>
          <w:color w:val="auto"/>
          <w:lang w:val="de-DE"/>
        </w:rPr>
      </w:pPr>
      <w:proofErr w:type="spellStart"/>
      <w:r w:rsidRPr="00BD3690">
        <w:rPr>
          <w:rFonts w:eastAsia="Times New Roman" w:cstheme="minorHAnsi"/>
          <w:color w:val="auto"/>
          <w:lang w:val="de-DE"/>
        </w:rPr>
        <w:t>Avasants</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RadarView</w:t>
      </w:r>
      <w:proofErr w:type="spellEnd"/>
      <w:r w:rsidRPr="00BD3690">
        <w:rPr>
          <w:rFonts w:eastAsia="Times New Roman" w:cstheme="minorHAnsi"/>
          <w:color w:val="auto"/>
          <w:lang w:val="de-DE"/>
        </w:rPr>
        <w:t xml:space="preserve"> ist eine unabhängige Bewertung</w:t>
      </w:r>
      <w:r w:rsidR="004E36FA">
        <w:rPr>
          <w:rFonts w:eastAsia="Times New Roman" w:cstheme="minorHAnsi"/>
          <w:color w:val="auto"/>
          <w:lang w:val="de-DE"/>
        </w:rPr>
        <w:t xml:space="preserve"> </w:t>
      </w:r>
      <w:r w:rsidRPr="00BD3690">
        <w:rPr>
          <w:rFonts w:eastAsia="Times New Roman" w:cstheme="minorHAnsi"/>
          <w:color w:val="auto"/>
          <w:lang w:val="de-DE"/>
        </w:rPr>
        <w:t>von Service-Anbietern</w:t>
      </w:r>
      <w:r w:rsidR="00420D15">
        <w:rPr>
          <w:rFonts w:eastAsia="Times New Roman" w:cstheme="minorHAnsi"/>
          <w:color w:val="auto"/>
          <w:lang w:val="de-DE"/>
        </w:rPr>
        <w:t>,</w:t>
      </w:r>
      <w:r w:rsidRPr="00BD3690">
        <w:rPr>
          <w:rFonts w:eastAsia="Times New Roman" w:cstheme="minorHAnsi"/>
          <w:color w:val="auto"/>
          <w:lang w:val="de-DE"/>
        </w:rPr>
        <w:t xml:space="preserve"> </w:t>
      </w:r>
      <w:r w:rsidR="004E36FA">
        <w:rPr>
          <w:rFonts w:eastAsia="Times New Roman" w:cstheme="minorHAnsi"/>
          <w:color w:val="auto"/>
          <w:lang w:val="de-DE"/>
        </w:rPr>
        <w:t>die</w:t>
      </w:r>
      <w:r w:rsidRPr="00BD3690">
        <w:rPr>
          <w:rFonts w:eastAsia="Times New Roman" w:cstheme="minorHAnsi"/>
          <w:color w:val="auto"/>
          <w:lang w:val="de-DE"/>
        </w:rPr>
        <w:t xml:space="preserve"> sie als langfristige Partner für globale Organisationen </w:t>
      </w:r>
      <w:r w:rsidR="00FE4E85">
        <w:rPr>
          <w:rFonts w:eastAsia="Times New Roman" w:cstheme="minorHAnsi"/>
          <w:color w:val="auto"/>
          <w:lang w:val="de-DE"/>
        </w:rPr>
        <w:t xml:space="preserve">im digitalen Wandel </w:t>
      </w:r>
      <w:r w:rsidRPr="00BD3690">
        <w:rPr>
          <w:rFonts w:eastAsia="Times New Roman" w:cstheme="minorHAnsi"/>
          <w:color w:val="auto"/>
          <w:lang w:val="de-DE"/>
        </w:rPr>
        <w:t>hinsichtlich Praxisreife, Investitionen und Branchenentwicklung evaluiert. Die Methodik kombiniert traditionelle Anbieterbefragung mit unabhängigem Data-Mining und kundenseitigen Marktchecks, um die Analysten mit einem ganzheitlichen Überblick über die Dienstleisterlandschaft zu versorgen.</w:t>
      </w:r>
    </w:p>
    <w:p w14:paraId="29A67FAA" w14:textId="55726411" w:rsidR="00BD3690" w:rsidRPr="00BD3690" w:rsidRDefault="00BD3690" w:rsidP="00BD3690">
      <w:pPr>
        <w:jc w:val="both"/>
        <w:rPr>
          <w:rFonts w:eastAsia="Times New Roman" w:cstheme="minorHAnsi"/>
          <w:color w:val="auto"/>
          <w:lang w:val="de-DE"/>
        </w:rPr>
      </w:pPr>
      <w:r w:rsidRPr="00BD3690">
        <w:rPr>
          <w:rFonts w:eastAsia="Times New Roman" w:cstheme="minorHAnsi"/>
          <w:color w:val="auto"/>
          <w:lang w:val="de-DE"/>
        </w:rPr>
        <w:t xml:space="preserve">„Das Engagement von NTT DATA für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 zeigt sich in seinen Beiträgen zum Wachstum der Branche", sagt </w:t>
      </w:r>
      <w:proofErr w:type="spellStart"/>
      <w:r w:rsidRPr="00BD3690">
        <w:rPr>
          <w:rFonts w:eastAsia="Times New Roman" w:cstheme="minorHAnsi"/>
          <w:color w:val="auto"/>
          <w:lang w:val="de-DE"/>
        </w:rPr>
        <w:t>Swapnil</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Bhatnagar</w:t>
      </w:r>
      <w:proofErr w:type="spellEnd"/>
      <w:r w:rsidRPr="00BD3690">
        <w:rPr>
          <w:rFonts w:eastAsia="Times New Roman" w:cstheme="minorHAnsi"/>
          <w:color w:val="auto"/>
          <w:lang w:val="de-DE"/>
        </w:rPr>
        <w:t xml:space="preserve">, Research </w:t>
      </w:r>
      <w:proofErr w:type="spellStart"/>
      <w:r w:rsidRPr="00BD3690">
        <w:rPr>
          <w:rFonts w:eastAsia="Times New Roman" w:cstheme="minorHAnsi"/>
          <w:color w:val="auto"/>
          <w:lang w:val="de-DE"/>
        </w:rPr>
        <w:t>Director</w:t>
      </w:r>
      <w:proofErr w:type="spellEnd"/>
      <w:r w:rsidRPr="00BD3690">
        <w:rPr>
          <w:rFonts w:eastAsia="Times New Roman" w:cstheme="minorHAnsi"/>
          <w:color w:val="auto"/>
          <w:lang w:val="de-DE"/>
        </w:rPr>
        <w:t xml:space="preserve"> bei </w:t>
      </w:r>
      <w:proofErr w:type="spellStart"/>
      <w:r w:rsidRPr="00BD3690">
        <w:rPr>
          <w:rFonts w:eastAsia="Times New Roman" w:cstheme="minorHAnsi"/>
          <w:color w:val="auto"/>
          <w:lang w:val="de-DE"/>
        </w:rPr>
        <w:t>Avasant</w:t>
      </w:r>
      <w:proofErr w:type="spellEnd"/>
      <w:r w:rsidRPr="00BD3690">
        <w:rPr>
          <w:rFonts w:eastAsia="Times New Roman" w:cstheme="minorHAnsi"/>
          <w:color w:val="auto"/>
          <w:lang w:val="de-DE"/>
        </w:rPr>
        <w:t xml:space="preserve">. „Als Gründungsmitglied mehrerer Konsortien hat es die Entwicklung der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-Technologie und des Ökosystems auf der ganzen Welt beschleunigt. Seine Stärken lassen sich durch seine Erfahrung bei der </w:t>
      </w:r>
      <w:r w:rsidRPr="00BD3690">
        <w:rPr>
          <w:rFonts w:eastAsia="Times New Roman" w:cstheme="minorHAnsi"/>
          <w:color w:val="auto"/>
          <w:lang w:val="de-DE"/>
        </w:rPr>
        <w:lastRenderedPageBreak/>
        <w:t xml:space="preserve">Implementierung von landesweiten Produktionsprojekten, tiefe Branchenkenntnisse, ein umfangreiches Portfolio an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-Assets und </w:t>
      </w:r>
      <w:r w:rsidR="00F2201B">
        <w:rPr>
          <w:rFonts w:eastAsia="Times New Roman" w:cstheme="minorHAnsi"/>
          <w:color w:val="auto"/>
          <w:lang w:val="de-DE"/>
        </w:rPr>
        <w:t>–</w:t>
      </w:r>
      <w:r w:rsidRPr="00BD3690">
        <w:rPr>
          <w:rFonts w:eastAsia="Times New Roman" w:cstheme="minorHAnsi"/>
          <w:color w:val="auto"/>
          <w:lang w:val="de-DE"/>
        </w:rPr>
        <w:t>Lösungen</w:t>
      </w:r>
      <w:r w:rsidR="00F2201B">
        <w:rPr>
          <w:rFonts w:eastAsia="Times New Roman" w:cstheme="minorHAnsi"/>
          <w:color w:val="auto"/>
          <w:lang w:val="de-DE"/>
        </w:rPr>
        <w:t>,</w:t>
      </w:r>
      <w:r w:rsidRPr="00BD3690">
        <w:rPr>
          <w:rFonts w:eastAsia="Times New Roman" w:cstheme="minorHAnsi"/>
          <w:color w:val="auto"/>
          <w:lang w:val="de-DE"/>
        </w:rPr>
        <w:t xml:space="preserve"> ein starkes Partner-Ökosystem einschließlich R3, </w:t>
      </w:r>
      <w:proofErr w:type="spellStart"/>
      <w:r w:rsidRPr="00BD3690">
        <w:rPr>
          <w:rFonts w:eastAsia="Times New Roman" w:cstheme="minorHAnsi"/>
          <w:color w:val="auto"/>
          <w:lang w:val="de-DE"/>
        </w:rPr>
        <w:t>Hyperledger</w:t>
      </w:r>
      <w:proofErr w:type="spellEnd"/>
      <w:r w:rsidRPr="00BD3690">
        <w:rPr>
          <w:rFonts w:eastAsia="Times New Roman" w:cstheme="minorHAnsi"/>
          <w:color w:val="auto"/>
          <w:lang w:val="de-DE"/>
        </w:rPr>
        <w:t xml:space="preserve"> und Digital Asset Holdings </w:t>
      </w:r>
      <w:r w:rsidR="00744A28">
        <w:rPr>
          <w:rFonts w:eastAsia="Times New Roman" w:cstheme="minorHAnsi"/>
          <w:color w:val="auto"/>
          <w:lang w:val="de-DE"/>
        </w:rPr>
        <w:t>–</w:t>
      </w:r>
      <w:r w:rsidR="00744A28" w:rsidRPr="00BD3690">
        <w:rPr>
          <w:rFonts w:eastAsia="Times New Roman" w:cstheme="minorHAnsi"/>
          <w:color w:val="auto"/>
          <w:lang w:val="de-DE"/>
        </w:rPr>
        <w:t xml:space="preserve"> </w:t>
      </w:r>
      <w:r w:rsidRPr="00BD3690">
        <w:rPr>
          <w:rFonts w:eastAsia="Times New Roman" w:cstheme="minorHAnsi"/>
          <w:color w:val="auto"/>
          <w:lang w:val="de-DE"/>
        </w:rPr>
        <w:t xml:space="preserve">sowie Partnerschaften mit SAP, Microsoft und AWS </w:t>
      </w:r>
      <w:r w:rsidR="00744A28">
        <w:rPr>
          <w:rFonts w:eastAsia="Times New Roman" w:cstheme="minorHAnsi"/>
          <w:color w:val="auto"/>
          <w:lang w:val="de-DE"/>
        </w:rPr>
        <w:t>–</w:t>
      </w:r>
      <w:r w:rsidRPr="00BD3690">
        <w:rPr>
          <w:rFonts w:eastAsia="Times New Roman" w:cstheme="minorHAnsi"/>
          <w:color w:val="auto"/>
          <w:lang w:val="de-DE"/>
        </w:rPr>
        <w:t xml:space="preserve"> definieren. Diese Stärken in Verbindung mit kontinuierlichen Investitionen in die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-Forschung und -Entwicklung haben NTT DATA zum dritten Mal in Folge als führendes Unternehmen in </w:t>
      </w:r>
      <w:proofErr w:type="spellStart"/>
      <w:r w:rsidRPr="00BD3690">
        <w:rPr>
          <w:rFonts w:eastAsia="Times New Roman" w:cstheme="minorHAnsi"/>
          <w:color w:val="auto"/>
          <w:lang w:val="de-DE"/>
        </w:rPr>
        <w:t>Avasants</w:t>
      </w:r>
      <w:proofErr w:type="spellEnd"/>
      <w:r w:rsidRPr="00BD3690">
        <w:rPr>
          <w:rFonts w:eastAsia="Times New Roman" w:cstheme="minorHAnsi"/>
          <w:color w:val="auto"/>
          <w:lang w:val="de-DE"/>
        </w:rPr>
        <w:t xml:space="preserve"> </w:t>
      </w:r>
      <w:proofErr w:type="spellStart"/>
      <w:r w:rsidRPr="00BD3690">
        <w:rPr>
          <w:rFonts w:eastAsia="Times New Roman" w:cstheme="minorHAnsi"/>
          <w:color w:val="auto"/>
          <w:lang w:val="de-DE"/>
        </w:rPr>
        <w:t>Blockchain</w:t>
      </w:r>
      <w:proofErr w:type="spellEnd"/>
      <w:r w:rsidRPr="00BD3690">
        <w:rPr>
          <w:rFonts w:eastAsia="Times New Roman" w:cstheme="minorHAnsi"/>
          <w:color w:val="auto"/>
          <w:lang w:val="de-DE"/>
        </w:rPr>
        <w:t xml:space="preserve"> Services 2020 </w:t>
      </w:r>
      <w:proofErr w:type="spellStart"/>
      <w:r w:rsidRPr="00BD3690">
        <w:rPr>
          <w:rFonts w:eastAsia="Times New Roman" w:cstheme="minorHAnsi"/>
          <w:color w:val="auto"/>
          <w:lang w:val="de-DE"/>
        </w:rPr>
        <w:t>RadarView</w:t>
      </w:r>
      <w:proofErr w:type="spellEnd"/>
      <w:r w:rsidRPr="00BD3690">
        <w:rPr>
          <w:rFonts w:eastAsia="Times New Roman" w:cstheme="minorHAnsi"/>
          <w:color w:val="auto"/>
          <w:lang w:val="de-DE"/>
        </w:rPr>
        <w:t xml:space="preserve"> ausgezeichnet.“</w:t>
      </w:r>
    </w:p>
    <w:p w14:paraId="737C74F2" w14:textId="6FFC3F25" w:rsidR="00BD3690" w:rsidRDefault="00420D15" w:rsidP="00BD3690">
      <w:pPr>
        <w:pStyle w:val="NurText"/>
        <w:jc w:val="both"/>
        <w:rPr>
          <w:lang w:val="de-DE"/>
        </w:rPr>
      </w:pPr>
      <w:r>
        <w:rPr>
          <w:rFonts w:eastAsia="Times New Roman"/>
          <w:color w:val="auto"/>
          <w:lang w:val="de-DE"/>
        </w:rPr>
        <w:t>W</w:t>
      </w:r>
      <w:r w:rsidR="00BD3690" w:rsidRPr="00BD3690">
        <w:rPr>
          <w:rFonts w:eastAsia="Times New Roman"/>
          <w:color w:val="auto"/>
          <w:lang w:val="de-DE"/>
        </w:rPr>
        <w:t xml:space="preserve">eitere Informationen </w:t>
      </w:r>
      <w:r>
        <w:rPr>
          <w:rFonts w:eastAsia="Times New Roman"/>
          <w:color w:val="auto"/>
          <w:lang w:val="de-DE"/>
        </w:rPr>
        <w:t xml:space="preserve">zu den </w:t>
      </w:r>
      <w:proofErr w:type="spellStart"/>
      <w:r w:rsidRPr="00BD3690">
        <w:rPr>
          <w:rFonts w:eastAsia="Times New Roman"/>
          <w:color w:val="auto"/>
          <w:lang w:val="de-DE"/>
        </w:rPr>
        <w:t>Blockchain</w:t>
      </w:r>
      <w:proofErr w:type="spellEnd"/>
      <w:r w:rsidRPr="00BD3690">
        <w:rPr>
          <w:rFonts w:eastAsia="Times New Roman"/>
          <w:color w:val="auto"/>
          <w:lang w:val="de-DE"/>
        </w:rPr>
        <w:t>-Angebote</w:t>
      </w:r>
      <w:r>
        <w:rPr>
          <w:rFonts w:eastAsia="Times New Roman"/>
          <w:color w:val="auto"/>
          <w:lang w:val="de-DE"/>
        </w:rPr>
        <w:t>n</w:t>
      </w:r>
      <w:r w:rsidRPr="00BD3690">
        <w:rPr>
          <w:rFonts w:eastAsia="Times New Roman"/>
          <w:color w:val="auto"/>
          <w:lang w:val="de-DE"/>
        </w:rPr>
        <w:t xml:space="preserve"> </w:t>
      </w:r>
      <w:r>
        <w:rPr>
          <w:rFonts w:eastAsia="Times New Roman"/>
          <w:color w:val="auto"/>
          <w:lang w:val="de-DE"/>
        </w:rPr>
        <w:t xml:space="preserve">von NTT DATA: </w:t>
      </w:r>
      <w:hyperlink r:id="rId9" w:history="1">
        <w:r w:rsidR="00D133EC" w:rsidRPr="005C2352">
          <w:rPr>
            <w:rStyle w:val="Hyperlink"/>
            <w:lang w:val="de-DE"/>
          </w:rPr>
          <w:t>https://de.nttdata.com/digital/technologien/Blockchain</w:t>
        </w:r>
      </w:hyperlink>
    </w:p>
    <w:p w14:paraId="228391EB" w14:textId="77777777" w:rsidR="00BD3690" w:rsidRDefault="00BD3690" w:rsidP="00BD3690">
      <w:pPr>
        <w:pStyle w:val="Default"/>
        <w:jc w:val="both"/>
        <w:rPr>
          <w:rFonts w:ascii="Arial" w:hAnsi="Arial" w:cs="Arial"/>
          <w:b/>
          <w:bCs/>
          <w:color w:val="000000" w:themeColor="text1"/>
          <w:sz w:val="20"/>
          <w:szCs w:val="22"/>
          <w:lang w:val="de-DE"/>
        </w:rPr>
      </w:pPr>
    </w:p>
    <w:p w14:paraId="040421FD" w14:textId="77777777" w:rsidR="00BD3690" w:rsidRDefault="00BD3690" w:rsidP="00BD3690">
      <w:pPr>
        <w:pStyle w:val="Default"/>
        <w:jc w:val="both"/>
        <w:rPr>
          <w:rFonts w:ascii="Arial" w:hAnsi="Arial" w:cs="Arial"/>
          <w:b/>
          <w:bCs/>
          <w:color w:val="000000" w:themeColor="text1"/>
          <w:sz w:val="20"/>
          <w:szCs w:val="22"/>
          <w:lang w:val="de-DE"/>
        </w:rPr>
      </w:pPr>
    </w:p>
    <w:p w14:paraId="5FA8C886" w14:textId="77777777" w:rsidR="00BD3690" w:rsidRDefault="00BD3690" w:rsidP="00BD3690">
      <w:pPr>
        <w:pStyle w:val="Default"/>
        <w:jc w:val="both"/>
        <w:rPr>
          <w:rFonts w:ascii="Arial" w:hAnsi="Arial" w:cs="Arial"/>
          <w:b/>
          <w:bCs/>
          <w:color w:val="000000" w:themeColor="text1"/>
          <w:sz w:val="20"/>
          <w:szCs w:val="22"/>
          <w:lang w:val="de-DE"/>
        </w:rPr>
      </w:pPr>
    </w:p>
    <w:p w14:paraId="2DF095A9" w14:textId="4125BBF7" w:rsidR="00F81BA4" w:rsidRPr="000F0622" w:rsidRDefault="00F81BA4" w:rsidP="00BD3690">
      <w:pPr>
        <w:pStyle w:val="Default"/>
        <w:jc w:val="both"/>
        <w:rPr>
          <w:rFonts w:ascii="Arial" w:hAnsi="Arial" w:cs="Arial"/>
          <w:b/>
          <w:bCs/>
          <w:color w:val="000000" w:themeColor="text1"/>
          <w:sz w:val="20"/>
          <w:szCs w:val="22"/>
          <w:lang w:val="de-DE"/>
        </w:rPr>
      </w:pPr>
      <w:r w:rsidRPr="000F0622">
        <w:rPr>
          <w:rFonts w:ascii="Arial" w:hAnsi="Arial" w:cs="Arial"/>
          <w:b/>
          <w:bCs/>
          <w:color w:val="000000" w:themeColor="text1"/>
          <w:sz w:val="20"/>
          <w:szCs w:val="22"/>
          <w:lang w:val="de-DE"/>
        </w:rPr>
        <w:t>Über NTT DATA</w:t>
      </w:r>
    </w:p>
    <w:p w14:paraId="01AA2FE4" w14:textId="37247D8C" w:rsidR="00F81BA4" w:rsidRDefault="00F81BA4" w:rsidP="00F81BA4">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sidR="00341BB1">
        <w:rPr>
          <w:rFonts w:ascii="Arial" w:eastAsiaTheme="minorHAnsi" w:hAnsi="Arial" w:cs="Arial"/>
          <w:color w:val="000000" w:themeColor="text1"/>
          <w:sz w:val="20"/>
          <w:szCs w:val="22"/>
          <w:lang w:val="de-DE" w:eastAsia="en-US"/>
        </w:rPr>
        <w:t xml:space="preserve">eitere Informationen finden Sie für </w:t>
      </w:r>
    </w:p>
    <w:p w14:paraId="067ED316" w14:textId="630813F1" w:rsidR="00341BB1" w:rsidRPr="00341BB1" w:rsidRDefault="00341BB1" w:rsidP="00341BB1">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383477E7" w14:textId="3472F3CE" w:rsidR="003A0772" w:rsidRPr="000F0622" w:rsidRDefault="003A0772" w:rsidP="003A0772">
      <w:pPr>
        <w:spacing w:before="0" w:after="200" w:line="276" w:lineRule="auto"/>
        <w:rPr>
          <w:rFonts w:cs="Arial"/>
          <w:b/>
          <w:color w:val="000000" w:themeColor="text1"/>
          <w:lang w:val="de-DE"/>
        </w:rPr>
      </w:pPr>
      <w:r w:rsidRPr="000F0622">
        <w:rPr>
          <w:rFonts w:cs="Arial"/>
          <w:b/>
          <w:color w:val="000000" w:themeColor="text1"/>
          <w:lang w:val="de-DE"/>
        </w:rPr>
        <w:t>Pressekontakt</w:t>
      </w:r>
      <w:r w:rsidR="00341BB1">
        <w:rPr>
          <w:rFonts w:cs="Arial"/>
          <w:b/>
          <w:color w:val="000000" w:themeColor="text1"/>
          <w:lang w:val="de-DE"/>
        </w:rPr>
        <w:t xml:space="preserve"> für Deutschland, Österreich und Schweiz</w:t>
      </w:r>
      <w:r w:rsidRPr="000F0622">
        <w:rPr>
          <w:rFonts w:cs="Arial"/>
          <w:b/>
          <w:color w:val="000000" w:themeColor="text1"/>
          <w:lang w:val="de-DE"/>
        </w:rPr>
        <w:t>:</w:t>
      </w:r>
    </w:p>
    <w:p w14:paraId="4FE89E3A" w14:textId="77777777" w:rsidR="003A0772" w:rsidRPr="00635BD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2A0AF196" w14:textId="77777777" w:rsidR="003A0772" w:rsidRPr="0069575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00E2CB28" w14:textId="77777777" w:rsidR="003A0772" w:rsidRPr="00BA5FDB" w:rsidRDefault="003A0772" w:rsidP="003A0772">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79871D6" w14:textId="77777777" w:rsidR="003A0772" w:rsidRPr="0069575E" w:rsidRDefault="003A0772" w:rsidP="003A0772">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4E53C9FA" w14:textId="2714B1D6" w:rsidR="003A0772" w:rsidRDefault="003A0772" w:rsidP="003A0772">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0" w:history="1">
        <w:r w:rsidRPr="000F0622">
          <w:rPr>
            <w:rStyle w:val="Hyperlink"/>
            <w:rFonts w:ascii="Arial" w:hAnsi="Arial" w:cs="Arial"/>
            <w:color w:val="auto"/>
            <w:sz w:val="20"/>
            <w:szCs w:val="20"/>
            <w:lang w:val="de-DE"/>
          </w:rPr>
          <w:t>Katja.Friedrich@nttdata.com</w:t>
        </w:r>
      </w:hyperlink>
    </w:p>
    <w:p w14:paraId="3D05A315" w14:textId="47F2025B" w:rsidR="004C4631" w:rsidRPr="00341BB1" w:rsidRDefault="004C4631" w:rsidP="003A0772">
      <w:pPr>
        <w:pStyle w:val="StandardWeb"/>
        <w:spacing w:before="0" w:beforeAutospacing="0" w:after="0" w:afterAutospacing="0"/>
        <w:ind w:right="1417"/>
        <w:rPr>
          <w:rFonts w:ascii="Arial" w:eastAsiaTheme="minorHAnsi" w:hAnsi="Arial" w:cs="Arial"/>
          <w:sz w:val="20"/>
          <w:szCs w:val="20"/>
          <w:lang w:val="de-DE" w:eastAsia="en-US"/>
        </w:rPr>
      </w:pPr>
    </w:p>
    <w:sectPr w:rsidR="004C4631" w:rsidRPr="00341BB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F8D8" w16cex:dateUtc="2021-01-21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4DC54" w16cid:durableId="23B3F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CB28" w14:textId="77777777" w:rsidR="00D077C4" w:rsidRDefault="00D077C4">
      <w:pPr>
        <w:spacing w:before="0" w:after="0"/>
      </w:pPr>
      <w:r>
        <w:separator/>
      </w:r>
    </w:p>
  </w:endnote>
  <w:endnote w:type="continuationSeparator" w:id="0">
    <w:p w14:paraId="7CEE965B" w14:textId="77777777" w:rsidR="00D077C4" w:rsidRDefault="00D077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AE2C" w14:textId="77777777" w:rsidR="00681466" w:rsidRDefault="00681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4F1C" w14:textId="77777777" w:rsidR="00681466" w:rsidRDefault="006814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4AA9" w14:textId="77777777" w:rsidR="00681466" w:rsidRDefault="00681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A51D" w14:textId="77777777" w:rsidR="00D077C4" w:rsidRDefault="00D077C4">
      <w:pPr>
        <w:spacing w:before="0" w:after="0"/>
      </w:pPr>
      <w:r>
        <w:separator/>
      </w:r>
    </w:p>
  </w:footnote>
  <w:footnote w:type="continuationSeparator" w:id="0">
    <w:p w14:paraId="5C51A121" w14:textId="77777777" w:rsidR="00D077C4" w:rsidRDefault="00D077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E7D8" w14:textId="77777777" w:rsidR="00681466" w:rsidRDefault="00681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6BB2" w14:textId="77777777" w:rsidR="00681466" w:rsidRDefault="00681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86"/>
    <w:multiLevelType w:val="multilevel"/>
    <w:tmpl w:val="07F2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0365336"/>
    <w:multiLevelType w:val="hybridMultilevel"/>
    <w:tmpl w:val="1556F126"/>
    <w:lvl w:ilvl="0" w:tplc="04070001">
      <w:start w:val="1"/>
      <w:numFmt w:val="bullet"/>
      <w:lvlText w:val=""/>
      <w:lvlJc w:val="left"/>
      <w:pPr>
        <w:ind w:left="1280" w:hanging="360"/>
      </w:pPr>
      <w:rPr>
        <w:rFonts w:ascii="Symbol" w:hAnsi="Symbol" w:hint="default"/>
      </w:rPr>
    </w:lvl>
    <w:lvl w:ilvl="1" w:tplc="04070003" w:tentative="1">
      <w:start w:val="1"/>
      <w:numFmt w:val="bullet"/>
      <w:lvlText w:val="o"/>
      <w:lvlJc w:val="left"/>
      <w:pPr>
        <w:ind w:left="2000" w:hanging="360"/>
      </w:pPr>
      <w:rPr>
        <w:rFonts w:ascii="Courier New" w:hAnsi="Courier New" w:cs="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7BAB19F4"/>
    <w:multiLevelType w:val="multilevel"/>
    <w:tmpl w:val="A6D4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3"/>
  </w:num>
  <w:num w:numId="3">
    <w:abstractNumId w:val="2"/>
  </w:num>
  <w:num w:numId="4">
    <w:abstractNumId w:val="6"/>
  </w:num>
  <w:num w:numId="5">
    <w:abstractNumId w:val="14"/>
  </w:num>
  <w:num w:numId="6">
    <w:abstractNumId w:val="9"/>
  </w:num>
  <w:num w:numId="7">
    <w:abstractNumId w:val="15"/>
  </w:num>
  <w:num w:numId="8">
    <w:abstractNumId w:val="5"/>
  </w:num>
  <w:num w:numId="9">
    <w:abstractNumId w:val="7"/>
  </w:num>
  <w:num w:numId="10">
    <w:abstractNumId w:val="17"/>
  </w:num>
  <w:num w:numId="11">
    <w:abstractNumId w:val="11"/>
  </w:num>
  <w:num w:numId="12">
    <w:abstractNumId w:val="8"/>
  </w:num>
  <w:num w:numId="13">
    <w:abstractNumId w:val="12"/>
  </w:num>
  <w:num w:numId="14">
    <w:abstractNumId w:val="10"/>
  </w:num>
  <w:num w:numId="15">
    <w:abstractNumId w:val="1"/>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2CF4"/>
    <w:rsid w:val="0001562B"/>
    <w:rsid w:val="00017B71"/>
    <w:rsid w:val="00031412"/>
    <w:rsid w:val="00037638"/>
    <w:rsid w:val="000457F3"/>
    <w:rsid w:val="000568DF"/>
    <w:rsid w:val="00081229"/>
    <w:rsid w:val="000966DE"/>
    <w:rsid w:val="000A193F"/>
    <w:rsid w:val="000B0EFE"/>
    <w:rsid w:val="000C41F8"/>
    <w:rsid w:val="000C6A8E"/>
    <w:rsid w:val="000D4EC7"/>
    <w:rsid w:val="000E65E0"/>
    <w:rsid w:val="000F0622"/>
    <w:rsid w:val="000F14D3"/>
    <w:rsid w:val="001403B1"/>
    <w:rsid w:val="00145B41"/>
    <w:rsid w:val="001509B8"/>
    <w:rsid w:val="001720A4"/>
    <w:rsid w:val="00182E62"/>
    <w:rsid w:val="00192E26"/>
    <w:rsid w:val="001B7400"/>
    <w:rsid w:val="001C0959"/>
    <w:rsid w:val="001E08B8"/>
    <w:rsid w:val="001F1DF5"/>
    <w:rsid w:val="00201F27"/>
    <w:rsid w:val="00202627"/>
    <w:rsid w:val="00225E17"/>
    <w:rsid w:val="00283967"/>
    <w:rsid w:val="00283EAA"/>
    <w:rsid w:val="00297ABE"/>
    <w:rsid w:val="002A215D"/>
    <w:rsid w:val="002A7F01"/>
    <w:rsid w:val="002B5EE9"/>
    <w:rsid w:val="002C2C0D"/>
    <w:rsid w:val="002C4217"/>
    <w:rsid w:val="002D4776"/>
    <w:rsid w:val="002D4C61"/>
    <w:rsid w:val="003015F3"/>
    <w:rsid w:val="003139E1"/>
    <w:rsid w:val="00323668"/>
    <w:rsid w:val="003369B5"/>
    <w:rsid w:val="00341BB1"/>
    <w:rsid w:val="00354715"/>
    <w:rsid w:val="00355F14"/>
    <w:rsid w:val="003605F0"/>
    <w:rsid w:val="00384DAA"/>
    <w:rsid w:val="003A0772"/>
    <w:rsid w:val="003A2A07"/>
    <w:rsid w:val="003A2ECB"/>
    <w:rsid w:val="003A5C5A"/>
    <w:rsid w:val="003C3A73"/>
    <w:rsid w:val="003D08D1"/>
    <w:rsid w:val="003D188B"/>
    <w:rsid w:val="003D4A48"/>
    <w:rsid w:val="003F4F4E"/>
    <w:rsid w:val="003F6B9A"/>
    <w:rsid w:val="004010DC"/>
    <w:rsid w:val="00403821"/>
    <w:rsid w:val="0041613F"/>
    <w:rsid w:val="00420D15"/>
    <w:rsid w:val="00441890"/>
    <w:rsid w:val="004470BD"/>
    <w:rsid w:val="004475D8"/>
    <w:rsid w:val="004569EA"/>
    <w:rsid w:val="0045722C"/>
    <w:rsid w:val="00460492"/>
    <w:rsid w:val="00475D8D"/>
    <w:rsid w:val="004927CC"/>
    <w:rsid w:val="004C404E"/>
    <w:rsid w:val="004C4631"/>
    <w:rsid w:val="004D5FA2"/>
    <w:rsid w:val="004E36FA"/>
    <w:rsid w:val="004F555B"/>
    <w:rsid w:val="004F72A0"/>
    <w:rsid w:val="00501410"/>
    <w:rsid w:val="005054E3"/>
    <w:rsid w:val="005103C7"/>
    <w:rsid w:val="00532C48"/>
    <w:rsid w:val="0053468B"/>
    <w:rsid w:val="005821A8"/>
    <w:rsid w:val="0058577C"/>
    <w:rsid w:val="005B2545"/>
    <w:rsid w:val="005B7499"/>
    <w:rsid w:val="005D02E9"/>
    <w:rsid w:val="005D7AAF"/>
    <w:rsid w:val="005E1A65"/>
    <w:rsid w:val="005F00DD"/>
    <w:rsid w:val="005F3C67"/>
    <w:rsid w:val="005F5EDB"/>
    <w:rsid w:val="00635BDE"/>
    <w:rsid w:val="00672423"/>
    <w:rsid w:val="00681466"/>
    <w:rsid w:val="006860E3"/>
    <w:rsid w:val="0069575E"/>
    <w:rsid w:val="006A2B5B"/>
    <w:rsid w:val="006B5988"/>
    <w:rsid w:val="006B72DF"/>
    <w:rsid w:val="006C2982"/>
    <w:rsid w:val="006C3817"/>
    <w:rsid w:val="006E2CF6"/>
    <w:rsid w:val="006E651E"/>
    <w:rsid w:val="00704633"/>
    <w:rsid w:val="00704D9F"/>
    <w:rsid w:val="00712D84"/>
    <w:rsid w:val="00727933"/>
    <w:rsid w:val="00731B4F"/>
    <w:rsid w:val="007365D0"/>
    <w:rsid w:val="00737860"/>
    <w:rsid w:val="00744A28"/>
    <w:rsid w:val="00747813"/>
    <w:rsid w:val="00750F5B"/>
    <w:rsid w:val="00760957"/>
    <w:rsid w:val="00761A66"/>
    <w:rsid w:val="00763F5C"/>
    <w:rsid w:val="00771DE0"/>
    <w:rsid w:val="0077210A"/>
    <w:rsid w:val="007817B4"/>
    <w:rsid w:val="007B2F15"/>
    <w:rsid w:val="007B6AE4"/>
    <w:rsid w:val="007B71CE"/>
    <w:rsid w:val="007C59D6"/>
    <w:rsid w:val="007E39A8"/>
    <w:rsid w:val="007F393F"/>
    <w:rsid w:val="007F6753"/>
    <w:rsid w:val="00807465"/>
    <w:rsid w:val="00814213"/>
    <w:rsid w:val="0082069F"/>
    <w:rsid w:val="00826E29"/>
    <w:rsid w:val="00831CF9"/>
    <w:rsid w:val="0084603D"/>
    <w:rsid w:val="00851D33"/>
    <w:rsid w:val="008528CB"/>
    <w:rsid w:val="00865560"/>
    <w:rsid w:val="00873A50"/>
    <w:rsid w:val="008758DD"/>
    <w:rsid w:val="008770A2"/>
    <w:rsid w:val="00880802"/>
    <w:rsid w:val="00881443"/>
    <w:rsid w:val="00890FBD"/>
    <w:rsid w:val="00891CE5"/>
    <w:rsid w:val="008A0094"/>
    <w:rsid w:val="008A0875"/>
    <w:rsid w:val="008A290A"/>
    <w:rsid w:val="008A5731"/>
    <w:rsid w:val="008B7FC5"/>
    <w:rsid w:val="008D2BD2"/>
    <w:rsid w:val="008E1E58"/>
    <w:rsid w:val="008E3B08"/>
    <w:rsid w:val="008E6FEB"/>
    <w:rsid w:val="008F7F4F"/>
    <w:rsid w:val="00902198"/>
    <w:rsid w:val="00905A9A"/>
    <w:rsid w:val="009079B1"/>
    <w:rsid w:val="0091618D"/>
    <w:rsid w:val="009253C1"/>
    <w:rsid w:val="009325DC"/>
    <w:rsid w:val="00946340"/>
    <w:rsid w:val="009742F4"/>
    <w:rsid w:val="00975B3E"/>
    <w:rsid w:val="009B3843"/>
    <w:rsid w:val="009B74E3"/>
    <w:rsid w:val="009C1D1E"/>
    <w:rsid w:val="009C71EF"/>
    <w:rsid w:val="009D21FF"/>
    <w:rsid w:val="009E0112"/>
    <w:rsid w:val="00A054A2"/>
    <w:rsid w:val="00A101F7"/>
    <w:rsid w:val="00A15D92"/>
    <w:rsid w:val="00A16A99"/>
    <w:rsid w:val="00A338F4"/>
    <w:rsid w:val="00A378CE"/>
    <w:rsid w:val="00A51516"/>
    <w:rsid w:val="00A53BEE"/>
    <w:rsid w:val="00A628F7"/>
    <w:rsid w:val="00A72A81"/>
    <w:rsid w:val="00A75628"/>
    <w:rsid w:val="00A8742E"/>
    <w:rsid w:val="00A87F36"/>
    <w:rsid w:val="00AB1399"/>
    <w:rsid w:val="00AC182A"/>
    <w:rsid w:val="00AD44BF"/>
    <w:rsid w:val="00AD651A"/>
    <w:rsid w:val="00AE5838"/>
    <w:rsid w:val="00AF442D"/>
    <w:rsid w:val="00AF5179"/>
    <w:rsid w:val="00B01623"/>
    <w:rsid w:val="00B269D3"/>
    <w:rsid w:val="00B5162B"/>
    <w:rsid w:val="00B606EC"/>
    <w:rsid w:val="00B73502"/>
    <w:rsid w:val="00BA5FDB"/>
    <w:rsid w:val="00BB0F8A"/>
    <w:rsid w:val="00BB4F26"/>
    <w:rsid w:val="00BC7470"/>
    <w:rsid w:val="00BC7C79"/>
    <w:rsid w:val="00BD3245"/>
    <w:rsid w:val="00BD3690"/>
    <w:rsid w:val="00BE33FD"/>
    <w:rsid w:val="00BE428E"/>
    <w:rsid w:val="00BE4645"/>
    <w:rsid w:val="00BF112D"/>
    <w:rsid w:val="00C01345"/>
    <w:rsid w:val="00C05E80"/>
    <w:rsid w:val="00C1023B"/>
    <w:rsid w:val="00C158D6"/>
    <w:rsid w:val="00C16C00"/>
    <w:rsid w:val="00C36B97"/>
    <w:rsid w:val="00C44208"/>
    <w:rsid w:val="00C56552"/>
    <w:rsid w:val="00C565EA"/>
    <w:rsid w:val="00C63CAE"/>
    <w:rsid w:val="00C6469B"/>
    <w:rsid w:val="00C7721C"/>
    <w:rsid w:val="00C80AAA"/>
    <w:rsid w:val="00C86523"/>
    <w:rsid w:val="00CA0B91"/>
    <w:rsid w:val="00CA2668"/>
    <w:rsid w:val="00CB2728"/>
    <w:rsid w:val="00CB68BF"/>
    <w:rsid w:val="00CB72F6"/>
    <w:rsid w:val="00CE1060"/>
    <w:rsid w:val="00CE2E35"/>
    <w:rsid w:val="00D077C4"/>
    <w:rsid w:val="00D10A9B"/>
    <w:rsid w:val="00D133EC"/>
    <w:rsid w:val="00D17830"/>
    <w:rsid w:val="00D207F1"/>
    <w:rsid w:val="00D27B4B"/>
    <w:rsid w:val="00D27BBB"/>
    <w:rsid w:val="00D45CE6"/>
    <w:rsid w:val="00D56AB5"/>
    <w:rsid w:val="00D70359"/>
    <w:rsid w:val="00D70FD5"/>
    <w:rsid w:val="00D73BE5"/>
    <w:rsid w:val="00D753C4"/>
    <w:rsid w:val="00D81AB4"/>
    <w:rsid w:val="00D82B4D"/>
    <w:rsid w:val="00DA4400"/>
    <w:rsid w:val="00DD7663"/>
    <w:rsid w:val="00DF4C95"/>
    <w:rsid w:val="00E04E4E"/>
    <w:rsid w:val="00E15A14"/>
    <w:rsid w:val="00E17CA7"/>
    <w:rsid w:val="00E25A1D"/>
    <w:rsid w:val="00E46864"/>
    <w:rsid w:val="00E6608D"/>
    <w:rsid w:val="00E7599E"/>
    <w:rsid w:val="00E82042"/>
    <w:rsid w:val="00E83C41"/>
    <w:rsid w:val="00E92285"/>
    <w:rsid w:val="00E93ADD"/>
    <w:rsid w:val="00EE15C8"/>
    <w:rsid w:val="00F2201B"/>
    <w:rsid w:val="00F22096"/>
    <w:rsid w:val="00F25AFE"/>
    <w:rsid w:val="00F43C5E"/>
    <w:rsid w:val="00F550F6"/>
    <w:rsid w:val="00F73DAF"/>
    <w:rsid w:val="00F77E45"/>
    <w:rsid w:val="00F81BA4"/>
    <w:rsid w:val="00F81EE1"/>
    <w:rsid w:val="00F9165D"/>
    <w:rsid w:val="00F96DDA"/>
    <w:rsid w:val="00F97A05"/>
    <w:rsid w:val="00FA4D32"/>
    <w:rsid w:val="00FA641C"/>
    <w:rsid w:val="00FC5C6F"/>
    <w:rsid w:val="00FD1ED8"/>
    <w:rsid w:val="00FE1A33"/>
    <w:rsid w:val="00FE4E85"/>
    <w:rsid w:val="00FE6AAE"/>
    <w:rsid w:val="00FF1D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63F5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5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962343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19406884">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6729728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media/NTTDataGermany/Files/2021-EN-Report-Avasant-Blockchain-Services-2020-RadarView-NTT-DATA-Leade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ja.Friedrich@nttdata.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e.nttdata.com/digital/technologien/Blockcha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E1A5-A503-4154-A044-AC6D4DEB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3</cp:revision>
  <cp:lastPrinted>2020-01-27T15:21:00Z</cp:lastPrinted>
  <dcterms:created xsi:type="dcterms:W3CDTF">2021-02-01T16:14:00Z</dcterms:created>
  <dcterms:modified xsi:type="dcterms:W3CDTF">2021-02-02T16:30:00Z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