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03F90" w14:textId="4EBDB4C1" w:rsidR="003D0D6D" w:rsidRPr="003D0D6D" w:rsidRDefault="00557593" w:rsidP="00B76440">
      <w:pPr>
        <w:pStyle w:val="Default"/>
        <w:rPr>
          <w:rStyle w:val="Fett"/>
          <w:rFonts w:ascii="Arial" w:eastAsia="Arial" w:hAnsi="Arial" w:cs="Arial"/>
          <w:b w:val="0"/>
          <w:bCs w:val="0"/>
          <w:color w:val="auto"/>
          <w:sz w:val="20"/>
          <w:szCs w:val="20"/>
          <w:lang w:val="de-DE" w:eastAsia="de-DE"/>
        </w:rPr>
      </w:pPr>
      <w:bookmarkStart w:id="0" w:name="_GoBack"/>
      <w:bookmarkEnd w:id="0"/>
      <w:r>
        <w:rPr>
          <w:rStyle w:val="Fett"/>
          <w:rFonts w:ascii="Arial" w:eastAsia="Arial" w:hAnsi="Arial" w:cs="Arial"/>
          <w:b w:val="0"/>
          <w:bCs w:val="0"/>
          <w:color w:val="auto"/>
          <w:sz w:val="20"/>
          <w:szCs w:val="20"/>
          <w:lang w:val="de-DE" w:eastAsia="de-DE"/>
        </w:rPr>
        <w:t>F</w:t>
      </w:r>
      <w:r w:rsidR="003D0D6D" w:rsidRPr="003D0D6D">
        <w:rPr>
          <w:rStyle w:val="Fett"/>
          <w:rFonts w:ascii="Arial" w:eastAsia="Arial" w:hAnsi="Arial" w:cs="Arial"/>
          <w:b w:val="0"/>
          <w:bCs w:val="0"/>
          <w:color w:val="auto"/>
          <w:sz w:val="20"/>
          <w:szCs w:val="20"/>
          <w:lang w:val="de-DE" w:eastAsia="de-DE"/>
        </w:rPr>
        <w:t>ührend bei S/4HANA-Transformation und Legacy-ERP-Migrationen</w:t>
      </w:r>
    </w:p>
    <w:p w14:paraId="579D8101" w14:textId="4D495F99" w:rsidR="00F21AC3" w:rsidRDefault="00E5771F" w:rsidP="00B76440">
      <w:pPr>
        <w:pStyle w:val="Default"/>
        <w:rPr>
          <w:rStyle w:val="Fett"/>
          <w:rFonts w:ascii="Arial" w:eastAsia="Arial" w:hAnsi="Arial" w:cs="Arial"/>
          <w:color w:val="auto"/>
          <w:lang w:val="de-DE" w:eastAsia="de-DE"/>
        </w:rPr>
      </w:pPr>
      <w:r w:rsidRPr="00A36602">
        <w:rPr>
          <w:rStyle w:val="Fett"/>
          <w:rFonts w:ascii="Arial" w:eastAsia="Arial" w:hAnsi="Arial" w:cs="Arial"/>
          <w:color w:val="auto"/>
          <w:lang w:val="de-DE" w:eastAsia="de-DE"/>
        </w:rPr>
        <w:t xml:space="preserve">NTT DATA </w:t>
      </w:r>
      <w:r w:rsidR="004943C9">
        <w:rPr>
          <w:rStyle w:val="Fett"/>
          <w:rFonts w:ascii="Arial" w:eastAsia="Arial" w:hAnsi="Arial" w:cs="Arial"/>
          <w:color w:val="auto"/>
          <w:lang w:val="de-DE" w:eastAsia="de-DE"/>
        </w:rPr>
        <w:t xml:space="preserve">im </w:t>
      </w:r>
      <w:r>
        <w:rPr>
          <w:rStyle w:val="Fett"/>
          <w:rFonts w:ascii="Arial" w:eastAsia="Arial" w:hAnsi="Arial" w:cs="Arial"/>
          <w:color w:val="auto"/>
          <w:lang w:val="de-DE" w:eastAsia="de-DE"/>
        </w:rPr>
        <w:t>SAP Cloud Migration Re</w:t>
      </w:r>
      <w:r w:rsidR="00F848FA">
        <w:rPr>
          <w:rStyle w:val="Fett"/>
          <w:rFonts w:ascii="Arial" w:eastAsia="Arial" w:hAnsi="Arial" w:cs="Arial"/>
          <w:color w:val="auto"/>
          <w:lang w:val="de-DE" w:eastAsia="de-DE"/>
        </w:rPr>
        <w:t>port</w:t>
      </w:r>
      <w:r w:rsidRPr="00A36602">
        <w:rPr>
          <w:rStyle w:val="Fett"/>
          <w:rFonts w:ascii="Arial" w:eastAsia="Arial" w:hAnsi="Arial" w:cs="Arial"/>
          <w:color w:val="auto"/>
          <w:lang w:val="de-DE" w:eastAsia="de-DE"/>
        </w:rPr>
        <w:t xml:space="preserve"> </w:t>
      </w:r>
      <w:r w:rsidR="004943C9">
        <w:rPr>
          <w:rStyle w:val="Fett"/>
          <w:rFonts w:ascii="Arial" w:eastAsia="Arial" w:hAnsi="Arial" w:cs="Arial"/>
          <w:color w:val="auto"/>
          <w:lang w:val="de-DE" w:eastAsia="de-DE"/>
        </w:rPr>
        <w:t>von</w:t>
      </w:r>
      <w:r>
        <w:rPr>
          <w:rStyle w:val="Fett"/>
          <w:rFonts w:ascii="Arial" w:eastAsia="Arial" w:hAnsi="Arial" w:cs="Arial"/>
          <w:color w:val="auto"/>
          <w:lang w:val="de-DE" w:eastAsia="de-DE"/>
        </w:rPr>
        <w:t xml:space="preserve"> </w:t>
      </w:r>
      <w:r w:rsidR="003D0D6D">
        <w:rPr>
          <w:rStyle w:val="Fett"/>
          <w:rFonts w:ascii="Arial" w:eastAsia="Arial" w:hAnsi="Arial" w:cs="Arial"/>
          <w:color w:val="auto"/>
          <w:lang w:val="de-DE" w:eastAsia="de-DE"/>
        </w:rPr>
        <w:t xml:space="preserve">NelsonHall </w:t>
      </w:r>
      <w:r w:rsidR="004943C9">
        <w:rPr>
          <w:rStyle w:val="Fett"/>
          <w:rFonts w:ascii="Arial" w:eastAsia="Arial" w:hAnsi="Arial" w:cs="Arial"/>
          <w:color w:val="auto"/>
          <w:lang w:val="de-DE" w:eastAsia="de-DE"/>
        </w:rPr>
        <w:t>als</w:t>
      </w:r>
      <w:r w:rsidR="00F848FA">
        <w:rPr>
          <w:rStyle w:val="Fett"/>
          <w:rFonts w:ascii="Arial" w:eastAsia="Arial" w:hAnsi="Arial" w:cs="Arial"/>
          <w:color w:val="auto"/>
          <w:lang w:val="de-DE" w:eastAsia="de-DE"/>
        </w:rPr>
        <w:t xml:space="preserve"> </w:t>
      </w:r>
      <w:r w:rsidR="004943C9" w:rsidRPr="00A36602">
        <w:rPr>
          <w:rStyle w:val="Fett"/>
          <w:rFonts w:ascii="Arial" w:eastAsia="Arial" w:hAnsi="Arial" w:cs="Arial"/>
          <w:color w:val="auto"/>
          <w:lang w:val="de-DE" w:eastAsia="de-DE"/>
        </w:rPr>
        <w:t>Leader</w:t>
      </w:r>
      <w:r w:rsidR="004943C9">
        <w:rPr>
          <w:rStyle w:val="Fett"/>
          <w:rFonts w:ascii="Arial" w:eastAsia="Arial" w:hAnsi="Arial" w:cs="Arial"/>
          <w:color w:val="auto"/>
          <w:lang w:val="de-DE" w:eastAsia="de-DE"/>
        </w:rPr>
        <w:t xml:space="preserve"> </w:t>
      </w:r>
      <w:r w:rsidR="00F848FA">
        <w:rPr>
          <w:rStyle w:val="Fett"/>
          <w:rFonts w:ascii="Arial" w:eastAsia="Arial" w:hAnsi="Arial" w:cs="Arial"/>
          <w:color w:val="auto"/>
          <w:lang w:val="de-DE" w:eastAsia="de-DE"/>
        </w:rPr>
        <w:t>ausgezeichnet</w:t>
      </w:r>
    </w:p>
    <w:p w14:paraId="7B86E0DA" w14:textId="5982875C" w:rsidR="00E30C40" w:rsidRDefault="00DB69F6" w:rsidP="00746238">
      <w:pPr>
        <w:jc w:val="both"/>
        <w:rPr>
          <w:rFonts w:cs="Arial"/>
          <w:color w:val="auto"/>
          <w:szCs w:val="20"/>
          <w:lang w:val="de-DE"/>
        </w:rPr>
      </w:pPr>
      <w:r>
        <w:rPr>
          <w:rFonts w:cs="Arial"/>
          <w:b/>
          <w:color w:val="auto"/>
          <w:lang w:val="de-DE"/>
        </w:rPr>
        <w:t xml:space="preserve">München, </w:t>
      </w:r>
      <w:r w:rsidR="00DF2172" w:rsidRPr="00DF2172">
        <w:rPr>
          <w:rFonts w:cs="Arial"/>
          <w:b/>
          <w:color w:val="auto"/>
          <w:lang w:val="de-DE"/>
        </w:rPr>
        <w:t>25</w:t>
      </w:r>
      <w:r w:rsidR="003D0D6D" w:rsidRPr="00DF2172">
        <w:rPr>
          <w:rFonts w:cs="Arial"/>
          <w:b/>
          <w:color w:val="auto"/>
          <w:lang w:val="de-DE"/>
        </w:rPr>
        <w:t>. März</w:t>
      </w:r>
      <w:r w:rsidR="00B76440" w:rsidRPr="00DF2172">
        <w:rPr>
          <w:rFonts w:cs="Arial"/>
          <w:b/>
          <w:color w:val="auto"/>
          <w:lang w:val="de-DE"/>
        </w:rPr>
        <w:t xml:space="preserve"> 2021</w:t>
      </w:r>
      <w:r w:rsidR="00B76440">
        <w:rPr>
          <w:rFonts w:cs="Arial"/>
          <w:b/>
          <w:color w:val="auto"/>
          <w:lang w:val="de-DE"/>
        </w:rPr>
        <w:t xml:space="preserve"> </w:t>
      </w:r>
      <w:r w:rsidR="00B76440" w:rsidRPr="00B76440">
        <w:rPr>
          <w:rFonts w:eastAsia="Times New Roman" w:cs="Arial"/>
          <w:color w:val="auto"/>
          <w:szCs w:val="24"/>
          <w:lang w:val="de-DE" w:eastAsia="de-DE"/>
        </w:rPr>
        <w:t xml:space="preserve">— </w:t>
      </w:r>
      <w:r w:rsidR="00B76440" w:rsidRPr="003D0D6D">
        <w:rPr>
          <w:rFonts w:eastAsia="Times New Roman" w:cs="Arial"/>
          <w:color w:val="auto"/>
          <w:szCs w:val="24"/>
          <w:lang w:val="de-DE" w:eastAsia="de-DE"/>
        </w:rPr>
        <w:t>NTT DATA</w:t>
      </w:r>
      <w:r w:rsidR="00F21AC3" w:rsidRPr="003D0D6D">
        <w:rPr>
          <w:rFonts w:eastAsia="Times New Roman" w:cs="Arial"/>
          <w:color w:val="auto"/>
          <w:szCs w:val="24"/>
          <w:lang w:val="de-DE" w:eastAsia="de-DE"/>
        </w:rPr>
        <w:t xml:space="preserve">, </w:t>
      </w:r>
      <w:r w:rsidR="00F21AC3" w:rsidRPr="003D0D6D">
        <w:rPr>
          <w:rFonts w:cs="Arial"/>
          <w:color w:val="auto"/>
          <w:szCs w:val="20"/>
          <w:lang w:val="de-DE"/>
        </w:rPr>
        <w:t xml:space="preserve">ein führender Anbieter von Business- und IT-Lösungen, wurde </w:t>
      </w:r>
      <w:r w:rsidR="009556AD">
        <w:rPr>
          <w:rFonts w:cs="Arial"/>
          <w:color w:val="auto"/>
          <w:szCs w:val="20"/>
          <w:lang w:val="de-DE"/>
        </w:rPr>
        <w:t>im NelsonHall 2021 NEAT Report für SAP</w:t>
      </w:r>
      <w:r w:rsidR="00BE5DE9">
        <w:rPr>
          <w:rFonts w:cs="Arial"/>
          <w:color w:val="auto"/>
          <w:szCs w:val="20"/>
          <w:lang w:val="de-DE"/>
        </w:rPr>
        <w:t xml:space="preserve"> </w:t>
      </w:r>
      <w:r w:rsidR="009556AD">
        <w:rPr>
          <w:rFonts w:cs="Arial"/>
          <w:color w:val="auto"/>
          <w:szCs w:val="20"/>
          <w:lang w:val="de-DE"/>
        </w:rPr>
        <w:t xml:space="preserve">Cloud Migration Services </w:t>
      </w:r>
      <w:r w:rsidR="00F21AC3" w:rsidRPr="003D0D6D">
        <w:rPr>
          <w:rFonts w:cs="Arial"/>
          <w:color w:val="auto"/>
          <w:szCs w:val="20"/>
          <w:lang w:val="de-DE"/>
        </w:rPr>
        <w:t xml:space="preserve">als Leader </w:t>
      </w:r>
      <w:r w:rsidR="003D0D6D">
        <w:rPr>
          <w:rFonts w:cs="Arial"/>
          <w:color w:val="auto"/>
          <w:szCs w:val="20"/>
          <w:lang w:val="de-DE"/>
        </w:rPr>
        <w:t xml:space="preserve">ausgezeichnet. Der Report </w:t>
      </w:r>
      <w:r w:rsidR="00E34202">
        <w:rPr>
          <w:rFonts w:cs="Arial"/>
          <w:color w:val="auto"/>
          <w:szCs w:val="20"/>
          <w:lang w:val="de-DE"/>
        </w:rPr>
        <w:t>untersuchte</w:t>
      </w:r>
      <w:r w:rsidR="003D0D6D">
        <w:rPr>
          <w:rFonts w:cs="Arial"/>
          <w:color w:val="auto"/>
          <w:szCs w:val="20"/>
          <w:lang w:val="de-DE"/>
        </w:rPr>
        <w:t xml:space="preserve"> 15 Anbieter </w:t>
      </w:r>
      <w:r w:rsidR="00E11C67">
        <w:rPr>
          <w:rFonts w:cs="Arial"/>
          <w:color w:val="auto"/>
          <w:szCs w:val="20"/>
          <w:lang w:val="de-DE"/>
        </w:rPr>
        <w:t>auf ihre</w:t>
      </w:r>
      <w:r w:rsidR="003D0D6D">
        <w:rPr>
          <w:rFonts w:cs="Arial"/>
          <w:color w:val="auto"/>
          <w:szCs w:val="20"/>
          <w:lang w:val="de-DE"/>
        </w:rPr>
        <w:t xml:space="preserve"> Fähigkeit, Kundinnen und Kunden sofortigen und langfristigen Nutzen i</w:t>
      </w:r>
      <w:r w:rsidR="00746238">
        <w:rPr>
          <w:rFonts w:cs="Arial"/>
          <w:color w:val="auto"/>
          <w:szCs w:val="20"/>
          <w:lang w:val="de-DE"/>
        </w:rPr>
        <w:t>m sich ständig wandelnden</w:t>
      </w:r>
      <w:r w:rsidR="003D0D6D">
        <w:rPr>
          <w:rFonts w:cs="Arial"/>
          <w:color w:val="auto"/>
          <w:szCs w:val="20"/>
          <w:lang w:val="de-DE"/>
        </w:rPr>
        <w:t xml:space="preserve"> und schnell wachsenden Markt für SAP-Migrationen zu bieten. </w:t>
      </w:r>
    </w:p>
    <w:p w14:paraId="72E06763" w14:textId="03D4B261" w:rsidR="00746238" w:rsidRDefault="00746238" w:rsidP="00746238">
      <w:pPr>
        <w:jc w:val="both"/>
        <w:rPr>
          <w:rFonts w:cs="Arial"/>
          <w:color w:val="auto"/>
          <w:szCs w:val="20"/>
          <w:lang w:val="de-DE"/>
        </w:rPr>
      </w:pPr>
      <w:r>
        <w:rPr>
          <w:rFonts w:cs="Arial"/>
          <w:color w:val="auto"/>
          <w:szCs w:val="20"/>
          <w:lang w:val="de-DE"/>
        </w:rPr>
        <w:t xml:space="preserve">NelsonHall </w:t>
      </w:r>
      <w:r w:rsidRPr="00746238">
        <w:rPr>
          <w:rFonts w:cs="Arial"/>
          <w:color w:val="auto"/>
          <w:szCs w:val="20"/>
          <w:lang w:val="de-DE"/>
        </w:rPr>
        <w:t xml:space="preserve">stuft NTT DATA in allen drei </w:t>
      </w:r>
      <w:r>
        <w:rPr>
          <w:rFonts w:cs="Arial"/>
          <w:color w:val="auto"/>
          <w:szCs w:val="20"/>
          <w:lang w:val="de-DE"/>
        </w:rPr>
        <w:t>analysierten</w:t>
      </w:r>
      <w:r w:rsidRPr="00746238">
        <w:rPr>
          <w:rFonts w:cs="Arial"/>
          <w:color w:val="auto"/>
          <w:szCs w:val="20"/>
          <w:lang w:val="de-DE"/>
        </w:rPr>
        <w:t xml:space="preserve"> Kategorien</w:t>
      </w:r>
      <w:r>
        <w:rPr>
          <w:rFonts w:cs="Arial"/>
          <w:color w:val="auto"/>
          <w:szCs w:val="20"/>
          <w:lang w:val="de-DE"/>
        </w:rPr>
        <w:t xml:space="preserve"> </w:t>
      </w:r>
      <w:r w:rsidR="00C82889">
        <w:rPr>
          <w:rFonts w:cs="Arial"/>
          <w:color w:val="auto"/>
          <w:szCs w:val="20"/>
          <w:lang w:val="de-DE"/>
        </w:rPr>
        <w:t xml:space="preserve">in </w:t>
      </w:r>
      <w:r w:rsidR="00C82889" w:rsidRPr="00746238">
        <w:rPr>
          <w:rFonts w:cs="Arial"/>
          <w:color w:val="auto"/>
          <w:szCs w:val="20"/>
          <w:lang w:val="de-DE"/>
        </w:rPr>
        <w:t>den Leader</w:t>
      </w:r>
      <w:r w:rsidR="00031A36">
        <w:rPr>
          <w:rFonts w:cs="Arial"/>
          <w:color w:val="auto"/>
          <w:szCs w:val="20"/>
          <w:lang w:val="de-DE"/>
        </w:rPr>
        <w:t>-</w:t>
      </w:r>
      <w:r w:rsidR="00C82889" w:rsidRPr="00746238">
        <w:rPr>
          <w:rFonts w:cs="Arial"/>
          <w:color w:val="auto"/>
          <w:szCs w:val="20"/>
          <w:lang w:val="de-DE"/>
        </w:rPr>
        <w:t>Quadranten ein</w:t>
      </w:r>
      <w:r w:rsidR="00C82889">
        <w:rPr>
          <w:rFonts w:cs="Arial"/>
          <w:color w:val="auto"/>
          <w:szCs w:val="20"/>
          <w:lang w:val="de-DE"/>
        </w:rPr>
        <w:t xml:space="preserve"> </w:t>
      </w:r>
      <w:r>
        <w:rPr>
          <w:rFonts w:cs="Arial"/>
          <w:color w:val="auto"/>
          <w:szCs w:val="20"/>
          <w:lang w:val="de-DE"/>
        </w:rPr>
        <w:t xml:space="preserve">– Legacy </w:t>
      </w:r>
      <w:r w:rsidRPr="00746238">
        <w:rPr>
          <w:rFonts w:cs="Arial"/>
          <w:color w:val="auto"/>
          <w:szCs w:val="20"/>
          <w:lang w:val="de-DE"/>
        </w:rPr>
        <w:t>Migration, S/4HANA Transformation und SAP Cloud Migration Services</w:t>
      </w:r>
      <w:r w:rsidR="00EB5B1C">
        <w:rPr>
          <w:rFonts w:cs="Arial"/>
          <w:color w:val="auto"/>
          <w:szCs w:val="20"/>
          <w:lang w:val="de-DE"/>
        </w:rPr>
        <w:t xml:space="preserve"> insgesamt</w:t>
      </w:r>
      <w:r w:rsidRPr="00746238">
        <w:rPr>
          <w:rFonts w:cs="Arial"/>
          <w:color w:val="auto"/>
          <w:szCs w:val="20"/>
          <w:lang w:val="de-DE"/>
        </w:rPr>
        <w:t xml:space="preserve">. </w:t>
      </w:r>
      <w:r w:rsidR="001C7948">
        <w:rPr>
          <w:rFonts w:cs="Arial"/>
          <w:color w:val="auto"/>
          <w:szCs w:val="20"/>
          <w:lang w:val="de-DE"/>
        </w:rPr>
        <w:t>Die Auszeichnung a</w:t>
      </w:r>
      <w:r w:rsidR="00525FE8">
        <w:rPr>
          <w:rFonts w:cs="Arial"/>
          <w:color w:val="auto"/>
          <w:szCs w:val="20"/>
          <w:lang w:val="de-DE"/>
        </w:rPr>
        <w:t>ls</w:t>
      </w:r>
      <w:r w:rsidR="001C7948" w:rsidRPr="00746238">
        <w:rPr>
          <w:rFonts w:cs="Arial"/>
          <w:color w:val="auto"/>
          <w:szCs w:val="20"/>
          <w:lang w:val="de-DE"/>
        </w:rPr>
        <w:t xml:space="preserve"> Leader </w:t>
      </w:r>
      <w:r w:rsidR="00525FE8">
        <w:rPr>
          <w:rFonts w:cs="Arial"/>
          <w:color w:val="auto"/>
          <w:szCs w:val="20"/>
          <w:lang w:val="de-DE"/>
        </w:rPr>
        <w:t xml:space="preserve">erhielt </w:t>
      </w:r>
      <w:r w:rsidRPr="00746238">
        <w:rPr>
          <w:rFonts w:cs="Arial"/>
          <w:color w:val="auto"/>
          <w:szCs w:val="20"/>
          <w:lang w:val="de-DE"/>
        </w:rPr>
        <w:t>NTT DATA aufgrund seiner Investitionen in</w:t>
      </w:r>
      <w:r w:rsidR="003E4912">
        <w:rPr>
          <w:rFonts w:cs="Arial"/>
          <w:color w:val="auto"/>
          <w:szCs w:val="20"/>
          <w:lang w:val="de-DE"/>
        </w:rPr>
        <w:t xml:space="preserve"> den Ausbau d</w:t>
      </w:r>
      <w:r>
        <w:rPr>
          <w:rFonts w:cs="Arial"/>
          <w:color w:val="auto"/>
          <w:szCs w:val="20"/>
          <w:lang w:val="de-DE"/>
        </w:rPr>
        <w:t xml:space="preserve">er </w:t>
      </w:r>
      <w:r w:rsidRPr="00746238">
        <w:rPr>
          <w:rFonts w:cs="Arial"/>
          <w:color w:val="auto"/>
          <w:szCs w:val="20"/>
          <w:lang w:val="de-DE"/>
        </w:rPr>
        <w:t>SAP-</w:t>
      </w:r>
      <w:r>
        <w:rPr>
          <w:rFonts w:cs="Arial"/>
          <w:color w:val="auto"/>
          <w:szCs w:val="20"/>
          <w:lang w:val="de-DE"/>
        </w:rPr>
        <w:t>Kompetenze</w:t>
      </w:r>
      <w:r w:rsidRPr="00746238">
        <w:rPr>
          <w:rFonts w:cs="Arial"/>
          <w:color w:val="auto"/>
          <w:szCs w:val="20"/>
          <w:lang w:val="de-DE"/>
        </w:rPr>
        <w:t xml:space="preserve">n, seiner breiten geografischen </w:t>
      </w:r>
      <w:r>
        <w:rPr>
          <w:rFonts w:cs="Arial"/>
          <w:color w:val="auto"/>
          <w:szCs w:val="20"/>
          <w:lang w:val="de-DE"/>
        </w:rPr>
        <w:t>Aufstellung</w:t>
      </w:r>
      <w:r w:rsidRPr="00746238">
        <w:rPr>
          <w:rFonts w:cs="Arial"/>
          <w:color w:val="auto"/>
          <w:szCs w:val="20"/>
          <w:lang w:val="de-DE"/>
        </w:rPr>
        <w:t xml:space="preserve"> und seiner Hyperscaler-Partnerschaften, die SAP-Migrationen in die Cloud erleichtern. </w:t>
      </w:r>
    </w:p>
    <w:p w14:paraId="2B1364D0" w14:textId="134C8394" w:rsidR="00746238" w:rsidRDefault="00746238" w:rsidP="00746238">
      <w:pPr>
        <w:jc w:val="both"/>
        <w:rPr>
          <w:rFonts w:cs="Arial"/>
          <w:color w:val="auto"/>
          <w:szCs w:val="20"/>
          <w:lang w:val="de-DE"/>
        </w:rPr>
      </w:pPr>
      <w:r>
        <w:rPr>
          <w:rFonts w:cs="Arial"/>
          <w:color w:val="auto"/>
          <w:szCs w:val="20"/>
          <w:lang w:val="de-DE"/>
        </w:rPr>
        <w:t xml:space="preserve">„Die konsequente Ausweitung der SAP-Kompetenzen durch Übernahmen, die enge Zusammenarbeit mit Microsoft Azure und die Erfahrung mit S/4HANA-Implementierungen verleihen NTT DATA eine starke, globale </w:t>
      </w:r>
      <w:r w:rsidR="00142E95">
        <w:rPr>
          <w:rFonts w:cs="Arial"/>
          <w:color w:val="auto"/>
          <w:szCs w:val="20"/>
          <w:lang w:val="de-DE"/>
        </w:rPr>
        <w:t>Bereitstellungskapazität</w:t>
      </w:r>
      <w:r>
        <w:rPr>
          <w:rFonts w:cs="Arial"/>
          <w:color w:val="auto"/>
          <w:szCs w:val="20"/>
          <w:lang w:val="de-DE"/>
        </w:rPr>
        <w:t xml:space="preserve"> mit branchenspezifischen und lokal zugeschnittenen </w:t>
      </w:r>
      <w:r w:rsidR="00142E95">
        <w:rPr>
          <w:rFonts w:cs="Arial"/>
          <w:color w:val="auto"/>
          <w:szCs w:val="20"/>
          <w:lang w:val="de-DE"/>
        </w:rPr>
        <w:t>Leistung</w:t>
      </w:r>
      <w:r>
        <w:rPr>
          <w:rFonts w:cs="Arial"/>
          <w:color w:val="auto"/>
          <w:szCs w:val="20"/>
          <w:lang w:val="de-DE"/>
        </w:rPr>
        <w:t>en</w:t>
      </w:r>
      <w:r w:rsidR="004D7FD9">
        <w:rPr>
          <w:rFonts w:cs="Arial"/>
          <w:color w:val="auto"/>
          <w:szCs w:val="20"/>
          <w:lang w:val="de-DE"/>
        </w:rPr>
        <w:t>“</w:t>
      </w:r>
      <w:r>
        <w:rPr>
          <w:rFonts w:cs="Arial"/>
          <w:color w:val="auto"/>
          <w:szCs w:val="20"/>
          <w:lang w:val="de-DE"/>
        </w:rPr>
        <w:t>, sagt</w:t>
      </w:r>
      <w:r w:rsidR="00FC1935">
        <w:rPr>
          <w:rFonts w:cs="Arial"/>
          <w:color w:val="auto"/>
          <w:szCs w:val="20"/>
          <w:lang w:val="de-DE"/>
        </w:rPr>
        <w:t>e</w:t>
      </w:r>
      <w:r>
        <w:rPr>
          <w:rFonts w:cs="Arial"/>
          <w:color w:val="auto"/>
          <w:szCs w:val="20"/>
          <w:lang w:val="de-DE"/>
        </w:rPr>
        <w:t xml:space="preserve"> David McIntire, NelsonHall IT Services Research Director. </w:t>
      </w:r>
    </w:p>
    <w:p w14:paraId="69CED279" w14:textId="15A17D4E" w:rsidR="00142E95" w:rsidRPr="00142E95" w:rsidRDefault="00142E95" w:rsidP="00142E95">
      <w:pPr>
        <w:jc w:val="both"/>
        <w:rPr>
          <w:rFonts w:cs="Arial"/>
          <w:color w:val="auto"/>
          <w:szCs w:val="20"/>
          <w:lang w:val="de-DE"/>
        </w:rPr>
      </w:pPr>
      <w:r w:rsidRPr="00142E95">
        <w:rPr>
          <w:rFonts w:cs="Arial"/>
          <w:color w:val="auto"/>
          <w:szCs w:val="20"/>
          <w:lang w:val="de-DE"/>
        </w:rPr>
        <w:t xml:space="preserve">NelsonHall </w:t>
      </w:r>
      <w:r>
        <w:rPr>
          <w:rFonts w:cs="Arial"/>
          <w:color w:val="auto"/>
          <w:szCs w:val="20"/>
          <w:lang w:val="de-DE"/>
        </w:rPr>
        <w:t xml:space="preserve">nennt zahlreiche </w:t>
      </w:r>
      <w:r w:rsidRPr="00142E95">
        <w:rPr>
          <w:rFonts w:cs="Arial"/>
          <w:color w:val="auto"/>
          <w:szCs w:val="20"/>
          <w:lang w:val="de-DE"/>
        </w:rPr>
        <w:t>strategische Vorteile von NTT DATA, um den wachsenden SAP-Markt zu bedienen</w:t>
      </w:r>
      <w:r w:rsidR="003A643C">
        <w:rPr>
          <w:rFonts w:cs="Arial"/>
          <w:color w:val="auto"/>
          <w:szCs w:val="20"/>
          <w:lang w:val="de-DE"/>
        </w:rPr>
        <w:t>.</w:t>
      </w:r>
      <w:r w:rsidRPr="00142E95">
        <w:rPr>
          <w:rFonts w:cs="Arial"/>
          <w:color w:val="auto"/>
          <w:szCs w:val="20"/>
          <w:lang w:val="de-DE"/>
        </w:rPr>
        <w:t xml:space="preserve"> </w:t>
      </w:r>
      <w:r w:rsidR="003A643C">
        <w:rPr>
          <w:rFonts w:cs="Arial"/>
          <w:color w:val="auto"/>
          <w:szCs w:val="20"/>
          <w:lang w:val="de-DE"/>
        </w:rPr>
        <w:t xml:space="preserve">Dazu gehört </w:t>
      </w:r>
      <w:r w:rsidRPr="00142E95">
        <w:rPr>
          <w:rFonts w:cs="Arial"/>
          <w:color w:val="auto"/>
          <w:szCs w:val="20"/>
          <w:lang w:val="de-DE"/>
        </w:rPr>
        <w:t xml:space="preserve">das </w:t>
      </w:r>
      <w:r w:rsidR="00103347">
        <w:rPr>
          <w:rFonts w:cs="Arial"/>
          <w:color w:val="auto"/>
          <w:szCs w:val="20"/>
          <w:lang w:val="de-DE"/>
        </w:rPr>
        <w:t>E</w:t>
      </w:r>
      <w:r>
        <w:rPr>
          <w:rFonts w:cs="Arial"/>
          <w:color w:val="auto"/>
          <w:szCs w:val="20"/>
          <w:lang w:val="de-DE"/>
        </w:rPr>
        <w:t xml:space="preserve">nd-to-end </w:t>
      </w:r>
      <w:r w:rsidRPr="00142E95">
        <w:rPr>
          <w:rFonts w:cs="Arial"/>
          <w:color w:val="auto"/>
          <w:szCs w:val="20"/>
          <w:lang w:val="de-DE"/>
        </w:rPr>
        <w:t>SA</w:t>
      </w:r>
      <w:r>
        <w:rPr>
          <w:rFonts w:cs="Arial"/>
          <w:color w:val="auto"/>
          <w:szCs w:val="20"/>
          <w:lang w:val="de-DE"/>
        </w:rPr>
        <w:t>P HANA Development Framework</w:t>
      </w:r>
      <w:r w:rsidR="00103347">
        <w:rPr>
          <w:rFonts w:cs="Arial"/>
          <w:color w:val="auto"/>
          <w:szCs w:val="20"/>
          <w:lang w:val="de-DE"/>
        </w:rPr>
        <w:t xml:space="preserve"> ebenso wie</w:t>
      </w:r>
      <w:r w:rsidRPr="00142E95">
        <w:rPr>
          <w:rFonts w:cs="Arial"/>
          <w:color w:val="auto"/>
          <w:szCs w:val="20"/>
          <w:lang w:val="de-DE"/>
        </w:rPr>
        <w:t xml:space="preserve"> mehrere </w:t>
      </w:r>
      <w:r>
        <w:rPr>
          <w:rFonts w:cs="Arial"/>
          <w:color w:val="auto"/>
          <w:szCs w:val="20"/>
          <w:lang w:val="de-DE"/>
        </w:rPr>
        <w:t>c</w:t>
      </w:r>
      <w:r w:rsidRPr="00142E95">
        <w:rPr>
          <w:rFonts w:cs="Arial"/>
          <w:color w:val="auto"/>
          <w:szCs w:val="20"/>
          <w:lang w:val="de-DE"/>
        </w:rPr>
        <w:t>loudbasierte Lösungen, funktionale Add-ons u</w:t>
      </w:r>
      <w:r w:rsidR="00C25F51">
        <w:rPr>
          <w:rFonts w:cs="Arial"/>
          <w:color w:val="auto"/>
          <w:szCs w:val="20"/>
          <w:lang w:val="de-DE"/>
        </w:rPr>
        <w:t>nd zahlreiche</w:t>
      </w:r>
      <w:r w:rsidR="00D14B95">
        <w:rPr>
          <w:rFonts w:cs="Arial"/>
          <w:color w:val="auto"/>
          <w:szCs w:val="20"/>
          <w:lang w:val="de-DE"/>
        </w:rPr>
        <w:t xml:space="preserve"> Branchenlösungen. </w:t>
      </w:r>
      <w:r w:rsidRPr="00142E95">
        <w:rPr>
          <w:rFonts w:cs="Arial"/>
          <w:color w:val="auto"/>
          <w:szCs w:val="20"/>
          <w:lang w:val="de-DE"/>
        </w:rPr>
        <w:t xml:space="preserve">Der </w:t>
      </w:r>
      <w:r>
        <w:rPr>
          <w:rFonts w:cs="Arial"/>
          <w:color w:val="auto"/>
          <w:szCs w:val="20"/>
          <w:lang w:val="de-DE"/>
        </w:rPr>
        <w:t xml:space="preserve">Report </w:t>
      </w:r>
      <w:r w:rsidR="00037997">
        <w:rPr>
          <w:rFonts w:cs="Arial"/>
          <w:color w:val="auto"/>
          <w:szCs w:val="20"/>
          <w:lang w:val="de-DE"/>
        </w:rPr>
        <w:t>würdigt außerdem</w:t>
      </w:r>
      <w:r>
        <w:rPr>
          <w:rFonts w:cs="Arial"/>
          <w:color w:val="auto"/>
          <w:szCs w:val="20"/>
          <w:lang w:val="de-DE"/>
        </w:rPr>
        <w:t xml:space="preserve"> </w:t>
      </w:r>
      <w:r w:rsidR="004F7EE2">
        <w:rPr>
          <w:rFonts w:cs="Arial"/>
          <w:color w:val="auto"/>
          <w:szCs w:val="20"/>
          <w:lang w:val="de-DE"/>
        </w:rPr>
        <w:t>die Breite des Angebots</w:t>
      </w:r>
      <w:r w:rsidRPr="00142E95">
        <w:rPr>
          <w:rFonts w:cs="Arial"/>
          <w:color w:val="auto"/>
          <w:szCs w:val="20"/>
          <w:lang w:val="de-DE"/>
        </w:rPr>
        <w:t xml:space="preserve"> an SAP S/4HANA-Branchenlösungen</w:t>
      </w:r>
      <w:r>
        <w:rPr>
          <w:rFonts w:cs="Arial"/>
          <w:color w:val="auto"/>
          <w:szCs w:val="20"/>
          <w:lang w:val="de-DE"/>
        </w:rPr>
        <w:t xml:space="preserve"> </w:t>
      </w:r>
      <w:r w:rsidRPr="00142E95">
        <w:rPr>
          <w:rFonts w:cs="Arial"/>
          <w:color w:val="auto"/>
          <w:szCs w:val="20"/>
          <w:lang w:val="de-DE"/>
        </w:rPr>
        <w:t>und hebt</w:t>
      </w:r>
      <w:r>
        <w:rPr>
          <w:rFonts w:cs="Arial"/>
          <w:color w:val="auto"/>
          <w:szCs w:val="20"/>
          <w:lang w:val="de-DE"/>
        </w:rPr>
        <w:t xml:space="preserve"> I</w:t>
      </w:r>
      <w:r w:rsidRPr="00142E95">
        <w:rPr>
          <w:rFonts w:cs="Arial"/>
          <w:color w:val="auto"/>
          <w:szCs w:val="20"/>
          <w:lang w:val="de-DE"/>
        </w:rPr>
        <w:t>mplementierungen in den Bereichen Gesundheitswesen, Pharmaz</w:t>
      </w:r>
      <w:r>
        <w:rPr>
          <w:rFonts w:cs="Arial"/>
          <w:color w:val="auto"/>
          <w:szCs w:val="20"/>
          <w:lang w:val="de-DE"/>
        </w:rPr>
        <w:t>ie</w:t>
      </w:r>
      <w:r w:rsidRPr="00142E95">
        <w:rPr>
          <w:rFonts w:cs="Arial"/>
          <w:color w:val="auto"/>
          <w:szCs w:val="20"/>
          <w:lang w:val="de-DE"/>
        </w:rPr>
        <w:t xml:space="preserve"> und Fertigung hervor. </w:t>
      </w:r>
      <w:r>
        <w:rPr>
          <w:rFonts w:cs="Arial"/>
          <w:color w:val="auto"/>
          <w:szCs w:val="20"/>
          <w:lang w:val="de-DE"/>
        </w:rPr>
        <w:t>Beispielsweise migrierte NTT DATA</w:t>
      </w:r>
      <w:r w:rsidRPr="00142E95">
        <w:rPr>
          <w:rFonts w:cs="Arial"/>
          <w:color w:val="auto"/>
          <w:szCs w:val="20"/>
          <w:lang w:val="de-DE"/>
        </w:rPr>
        <w:t xml:space="preserve"> eine On-Premises-ERP-Landschaft auf Microsoft Azure, wodurch der Kunde sofortige Kosteneinsparungen in Höhe von 500.000 US-Dollar erziel</w:t>
      </w:r>
      <w:r w:rsidR="00CC70C7">
        <w:rPr>
          <w:rFonts w:cs="Arial"/>
          <w:color w:val="auto"/>
          <w:szCs w:val="20"/>
          <w:lang w:val="de-DE"/>
        </w:rPr>
        <w:t>te</w:t>
      </w:r>
      <w:r w:rsidRPr="00142E95">
        <w:rPr>
          <w:rFonts w:cs="Arial"/>
          <w:color w:val="auto"/>
          <w:szCs w:val="20"/>
          <w:lang w:val="de-DE"/>
        </w:rPr>
        <w:t xml:space="preserve"> und gleichzeitig Sicherheitslücken </w:t>
      </w:r>
      <w:r w:rsidR="003B6B78">
        <w:rPr>
          <w:rFonts w:cs="Arial"/>
          <w:color w:val="auto"/>
          <w:szCs w:val="20"/>
          <w:lang w:val="de-DE"/>
        </w:rPr>
        <w:t>schließen</w:t>
      </w:r>
      <w:r w:rsidRPr="00142E95">
        <w:rPr>
          <w:rFonts w:cs="Arial"/>
          <w:color w:val="auto"/>
          <w:szCs w:val="20"/>
          <w:lang w:val="de-DE"/>
        </w:rPr>
        <w:t xml:space="preserve"> konnte.</w:t>
      </w:r>
    </w:p>
    <w:p w14:paraId="5C9D2EE6" w14:textId="40C2CD2E" w:rsidR="001202CA" w:rsidRPr="001202CA" w:rsidRDefault="001202CA" w:rsidP="001202CA">
      <w:pPr>
        <w:jc w:val="both"/>
        <w:rPr>
          <w:rFonts w:cs="Arial"/>
          <w:color w:val="auto"/>
          <w:szCs w:val="20"/>
          <w:lang w:val="de-DE"/>
        </w:rPr>
      </w:pPr>
      <w:r>
        <w:rPr>
          <w:rFonts w:cs="Arial"/>
          <w:color w:val="auto"/>
          <w:szCs w:val="20"/>
          <w:lang w:val="de-DE"/>
        </w:rPr>
        <w:t>„</w:t>
      </w:r>
      <w:r w:rsidR="00083B41">
        <w:rPr>
          <w:rFonts w:cs="Arial"/>
          <w:color w:val="auto"/>
          <w:szCs w:val="20"/>
          <w:lang w:val="de-DE"/>
        </w:rPr>
        <w:t>Unternehmen</w:t>
      </w:r>
      <w:r>
        <w:rPr>
          <w:rFonts w:cs="Arial"/>
          <w:color w:val="auto"/>
          <w:szCs w:val="20"/>
          <w:lang w:val="de-DE"/>
        </w:rPr>
        <w:t xml:space="preserve">, </w:t>
      </w:r>
      <w:r w:rsidRPr="001202CA">
        <w:rPr>
          <w:rFonts w:cs="Arial"/>
          <w:color w:val="auto"/>
          <w:szCs w:val="20"/>
          <w:lang w:val="de-DE"/>
        </w:rPr>
        <w:t>die in unternehmensweite SAP-</w:t>
      </w:r>
      <w:r>
        <w:rPr>
          <w:rFonts w:cs="Arial"/>
          <w:color w:val="auto"/>
          <w:szCs w:val="20"/>
          <w:lang w:val="de-DE"/>
        </w:rPr>
        <w:t>A</w:t>
      </w:r>
      <w:r w:rsidRPr="001202CA">
        <w:rPr>
          <w:rFonts w:cs="Arial"/>
          <w:color w:val="auto"/>
          <w:szCs w:val="20"/>
          <w:lang w:val="de-DE"/>
        </w:rPr>
        <w:t xml:space="preserve">nwendungen investieren, brauchen einen </w:t>
      </w:r>
      <w:r>
        <w:rPr>
          <w:rFonts w:cs="Arial"/>
          <w:color w:val="auto"/>
          <w:szCs w:val="20"/>
          <w:lang w:val="de-DE"/>
        </w:rPr>
        <w:t>international</w:t>
      </w:r>
      <w:r w:rsidRPr="001202CA">
        <w:rPr>
          <w:rFonts w:cs="Arial"/>
          <w:color w:val="auto"/>
          <w:szCs w:val="20"/>
          <w:lang w:val="de-DE"/>
        </w:rPr>
        <w:t>en Partner, der sie bei der Optimierung dieser Umgebungen unterstützt, damit sie in dynamischen Märkten</w:t>
      </w:r>
      <w:r>
        <w:rPr>
          <w:rFonts w:cs="Arial"/>
          <w:color w:val="auto"/>
          <w:szCs w:val="20"/>
          <w:lang w:val="de-DE"/>
        </w:rPr>
        <w:t xml:space="preserve"> und </w:t>
      </w:r>
      <w:r w:rsidRPr="001202CA">
        <w:rPr>
          <w:rFonts w:cs="Arial"/>
          <w:color w:val="auto"/>
          <w:szCs w:val="20"/>
          <w:lang w:val="de-DE"/>
        </w:rPr>
        <w:t>im harten Wettbewerb bestehen können", sagt</w:t>
      </w:r>
      <w:r w:rsidR="00C62CD7">
        <w:rPr>
          <w:rFonts w:cs="Arial"/>
          <w:color w:val="auto"/>
          <w:szCs w:val="20"/>
          <w:lang w:val="de-DE"/>
        </w:rPr>
        <w:t>e</w:t>
      </w:r>
      <w:r w:rsidRPr="001202CA">
        <w:rPr>
          <w:rFonts w:cs="Arial"/>
          <w:color w:val="auto"/>
          <w:szCs w:val="20"/>
          <w:lang w:val="de-DE"/>
        </w:rPr>
        <w:t xml:space="preserve"> Norbert Rotter, Co-Leiter des SAP Global Market Focus Teams bei NTT DATA.</w:t>
      </w:r>
      <w:r w:rsidR="000D79F9">
        <w:rPr>
          <w:rFonts w:cs="Arial"/>
          <w:color w:val="auto"/>
          <w:szCs w:val="20"/>
          <w:lang w:val="de-DE"/>
        </w:rPr>
        <w:t xml:space="preserve"> </w:t>
      </w:r>
      <w:r>
        <w:rPr>
          <w:rFonts w:cs="Arial"/>
          <w:color w:val="auto"/>
          <w:szCs w:val="20"/>
          <w:lang w:val="de-DE"/>
        </w:rPr>
        <w:t>„</w:t>
      </w:r>
      <w:r w:rsidRPr="001202CA">
        <w:rPr>
          <w:rFonts w:cs="Arial"/>
          <w:color w:val="auto"/>
          <w:szCs w:val="20"/>
          <w:lang w:val="de-DE"/>
        </w:rPr>
        <w:t xml:space="preserve">Mit unserem </w:t>
      </w:r>
      <w:r>
        <w:rPr>
          <w:rFonts w:cs="Arial"/>
          <w:color w:val="auto"/>
          <w:szCs w:val="20"/>
          <w:lang w:val="de-DE"/>
        </w:rPr>
        <w:t>A</w:t>
      </w:r>
      <w:r w:rsidRPr="001202CA">
        <w:rPr>
          <w:rFonts w:cs="Arial"/>
          <w:color w:val="auto"/>
          <w:szCs w:val="20"/>
          <w:lang w:val="de-DE"/>
        </w:rPr>
        <w:t>ngebot</w:t>
      </w:r>
      <w:r>
        <w:rPr>
          <w:rFonts w:cs="Arial"/>
          <w:color w:val="auto"/>
          <w:szCs w:val="20"/>
          <w:lang w:val="de-DE"/>
        </w:rPr>
        <w:t xml:space="preserve"> für Cloud-Migration</w:t>
      </w:r>
      <w:r w:rsidRPr="001202CA">
        <w:rPr>
          <w:rFonts w:cs="Arial"/>
          <w:color w:val="auto"/>
          <w:szCs w:val="20"/>
          <w:lang w:val="de-DE"/>
        </w:rPr>
        <w:t>, unserer globalen Reichweite und unseren 16.000 Mitarbeitern, die sich auf die Bereitstellung von SAP-Services spezialisiert haben,</w:t>
      </w:r>
      <w:r>
        <w:rPr>
          <w:rFonts w:cs="Arial"/>
          <w:color w:val="auto"/>
          <w:szCs w:val="20"/>
          <w:lang w:val="de-DE"/>
        </w:rPr>
        <w:t xml:space="preserve"> bieten wir </w:t>
      </w:r>
      <w:r w:rsidRPr="001202CA">
        <w:rPr>
          <w:rFonts w:cs="Arial"/>
          <w:color w:val="auto"/>
          <w:szCs w:val="20"/>
          <w:lang w:val="de-DE"/>
        </w:rPr>
        <w:t>unseren</w:t>
      </w:r>
      <w:r>
        <w:rPr>
          <w:rFonts w:cs="Arial"/>
          <w:color w:val="auto"/>
          <w:szCs w:val="20"/>
          <w:lang w:val="de-DE"/>
        </w:rPr>
        <w:t xml:space="preserve"> Kunden </w:t>
      </w:r>
      <w:r w:rsidRPr="001202CA">
        <w:rPr>
          <w:rFonts w:cs="Arial"/>
          <w:color w:val="auto"/>
          <w:szCs w:val="20"/>
          <w:lang w:val="de-DE"/>
        </w:rPr>
        <w:t>die Expertise, die sie</w:t>
      </w:r>
      <w:r w:rsidR="0064532F">
        <w:rPr>
          <w:rFonts w:cs="Arial"/>
          <w:color w:val="auto"/>
          <w:szCs w:val="20"/>
          <w:lang w:val="de-DE"/>
        </w:rPr>
        <w:t xml:space="preserve"> jetzt und in Zukunft benöti</w:t>
      </w:r>
      <w:r w:rsidR="0064532F" w:rsidRPr="00DF2172">
        <w:rPr>
          <w:rFonts w:cs="Arial"/>
          <w:color w:val="auto"/>
          <w:szCs w:val="20"/>
          <w:lang w:val="de-DE"/>
        </w:rPr>
        <w:t>gen</w:t>
      </w:r>
      <w:r w:rsidRPr="00DF2172">
        <w:rPr>
          <w:rFonts w:cs="Arial"/>
          <w:color w:val="auto"/>
          <w:szCs w:val="20"/>
          <w:lang w:val="de-DE"/>
        </w:rPr>
        <w:t>"</w:t>
      </w:r>
      <w:r w:rsidR="008849EB">
        <w:rPr>
          <w:rFonts w:cs="Arial"/>
          <w:color w:val="auto"/>
          <w:szCs w:val="20"/>
          <w:lang w:val="de-DE"/>
        </w:rPr>
        <w:t>,</w:t>
      </w:r>
      <w:r w:rsidR="0064532F" w:rsidRPr="00DF2172">
        <w:rPr>
          <w:rFonts w:cs="Arial"/>
          <w:color w:val="auto"/>
          <w:szCs w:val="20"/>
          <w:lang w:val="de-DE"/>
        </w:rPr>
        <w:t xml:space="preserve"> ergänzt Ralf Malter, </w:t>
      </w:r>
      <w:r w:rsidR="0064532F" w:rsidRPr="00DF2172">
        <w:rPr>
          <w:rFonts w:cs="Arial"/>
          <w:color w:val="000000" w:themeColor="text1"/>
          <w:lang w:val="de-DE"/>
        </w:rPr>
        <w:t>COO und Geschäftsführer NTT DATA DACH.</w:t>
      </w:r>
    </w:p>
    <w:p w14:paraId="0FA36FFF" w14:textId="0C4645B7" w:rsidR="003D0D6D" w:rsidRDefault="00A44126" w:rsidP="00F21AC3">
      <w:pPr>
        <w:jc w:val="both"/>
        <w:rPr>
          <w:rFonts w:cs="Arial"/>
          <w:color w:val="auto"/>
          <w:szCs w:val="20"/>
          <w:lang w:val="de-DE"/>
        </w:rPr>
      </w:pPr>
      <w:r w:rsidRPr="00A44126">
        <w:rPr>
          <w:rFonts w:cs="Arial"/>
          <w:color w:val="auto"/>
          <w:szCs w:val="20"/>
          <w:lang w:val="de-DE"/>
        </w:rPr>
        <w:t xml:space="preserve">Der Markt für SAP-ERP-Cloud-Services wird </w:t>
      </w:r>
      <w:r>
        <w:rPr>
          <w:rFonts w:cs="Arial"/>
          <w:color w:val="auto"/>
          <w:szCs w:val="20"/>
          <w:lang w:val="de-DE"/>
        </w:rPr>
        <w:t xml:space="preserve">jährlich </w:t>
      </w:r>
      <w:r w:rsidRPr="00A44126">
        <w:rPr>
          <w:rFonts w:cs="Arial"/>
          <w:color w:val="auto"/>
          <w:szCs w:val="20"/>
          <w:lang w:val="de-DE"/>
        </w:rPr>
        <w:t xml:space="preserve">voraussichtlich um 17 </w:t>
      </w:r>
      <w:r w:rsidR="00917822">
        <w:rPr>
          <w:rFonts w:cs="Arial"/>
          <w:color w:val="auto"/>
          <w:szCs w:val="20"/>
          <w:lang w:val="de-DE"/>
        </w:rPr>
        <w:t>Prozent</w:t>
      </w:r>
      <w:r w:rsidRPr="00A44126">
        <w:rPr>
          <w:rFonts w:cs="Arial"/>
          <w:color w:val="auto"/>
          <w:szCs w:val="20"/>
          <w:lang w:val="de-DE"/>
        </w:rPr>
        <w:t xml:space="preserve"> wachsen, von 9,4 Milliarden US-Dollar im Jahr 2020 auf 19,4 Milliarden US-Dollar im Jahr 202</w:t>
      </w:r>
      <w:r>
        <w:rPr>
          <w:rFonts w:cs="Arial"/>
          <w:color w:val="auto"/>
          <w:szCs w:val="20"/>
          <w:lang w:val="de-DE"/>
        </w:rPr>
        <w:t>7</w:t>
      </w:r>
      <w:r w:rsidR="008577D7">
        <w:rPr>
          <w:rFonts w:cs="Arial"/>
          <w:color w:val="auto"/>
          <w:szCs w:val="20"/>
          <w:lang w:val="de-DE"/>
        </w:rPr>
        <w:t>.</w:t>
      </w:r>
      <w:r>
        <w:rPr>
          <w:rFonts w:cs="Arial"/>
          <w:color w:val="auto"/>
          <w:szCs w:val="20"/>
          <w:lang w:val="de-DE"/>
        </w:rPr>
        <w:t xml:space="preserve"> </w:t>
      </w:r>
      <w:r w:rsidR="008577D7">
        <w:rPr>
          <w:rFonts w:cs="Arial"/>
          <w:color w:val="auto"/>
          <w:szCs w:val="20"/>
          <w:lang w:val="de-DE"/>
        </w:rPr>
        <w:t xml:space="preserve">Das ist </w:t>
      </w:r>
      <w:r>
        <w:rPr>
          <w:rFonts w:cs="Arial"/>
          <w:color w:val="auto"/>
          <w:szCs w:val="20"/>
          <w:lang w:val="de-DE"/>
        </w:rPr>
        <w:t xml:space="preserve">deutlich </w:t>
      </w:r>
      <w:r w:rsidRPr="00A44126">
        <w:rPr>
          <w:rFonts w:cs="Arial"/>
          <w:color w:val="auto"/>
          <w:szCs w:val="20"/>
          <w:lang w:val="de-DE"/>
        </w:rPr>
        <w:t xml:space="preserve">schneller als </w:t>
      </w:r>
      <w:r w:rsidR="004957C0">
        <w:rPr>
          <w:rFonts w:cs="Arial"/>
          <w:color w:val="auto"/>
          <w:szCs w:val="20"/>
          <w:lang w:val="de-DE"/>
        </w:rPr>
        <w:t xml:space="preserve">das Wachstum </w:t>
      </w:r>
      <w:r w:rsidRPr="00A44126">
        <w:rPr>
          <w:rFonts w:cs="Arial"/>
          <w:color w:val="auto"/>
          <w:szCs w:val="20"/>
          <w:lang w:val="de-DE"/>
        </w:rPr>
        <w:t>alle</w:t>
      </w:r>
      <w:r w:rsidR="004957C0">
        <w:rPr>
          <w:rFonts w:cs="Arial"/>
          <w:color w:val="auto"/>
          <w:szCs w:val="20"/>
          <w:lang w:val="de-DE"/>
        </w:rPr>
        <w:t>r</w:t>
      </w:r>
      <w:r w:rsidRPr="00A44126">
        <w:rPr>
          <w:rFonts w:cs="Arial"/>
          <w:color w:val="auto"/>
          <w:szCs w:val="20"/>
          <w:lang w:val="de-DE"/>
        </w:rPr>
        <w:t xml:space="preserve"> anderen SAP-Services. Der </w:t>
      </w:r>
      <w:r>
        <w:rPr>
          <w:rFonts w:cs="Arial"/>
          <w:color w:val="auto"/>
          <w:szCs w:val="20"/>
          <w:lang w:val="de-DE"/>
        </w:rPr>
        <w:t xml:space="preserve">Report </w:t>
      </w:r>
      <w:r w:rsidRPr="00A44126">
        <w:rPr>
          <w:rFonts w:cs="Arial"/>
          <w:color w:val="auto"/>
          <w:szCs w:val="20"/>
          <w:lang w:val="de-DE"/>
        </w:rPr>
        <w:t xml:space="preserve">skizziert, wie dies durch eine Verschiebung der Nachfrage </w:t>
      </w:r>
      <w:r>
        <w:rPr>
          <w:rFonts w:cs="Arial"/>
          <w:color w:val="auto"/>
          <w:szCs w:val="20"/>
          <w:lang w:val="de-DE"/>
        </w:rPr>
        <w:t>voran</w:t>
      </w:r>
      <w:r w:rsidRPr="00A44126">
        <w:rPr>
          <w:rFonts w:cs="Arial"/>
          <w:color w:val="auto"/>
          <w:szCs w:val="20"/>
          <w:lang w:val="de-DE"/>
        </w:rPr>
        <w:t xml:space="preserve">getrieben wird. Heute konzentrieren sich SAP-ERP-Cloud-Services </w:t>
      </w:r>
      <w:r w:rsidR="00103631">
        <w:rPr>
          <w:rFonts w:cs="Arial"/>
          <w:color w:val="auto"/>
          <w:szCs w:val="20"/>
          <w:lang w:val="de-DE"/>
        </w:rPr>
        <w:t>darauf,</w:t>
      </w:r>
      <w:r w:rsidRPr="00A44126">
        <w:rPr>
          <w:rFonts w:cs="Arial"/>
          <w:color w:val="auto"/>
          <w:szCs w:val="20"/>
          <w:lang w:val="de-DE"/>
        </w:rPr>
        <w:t xml:space="preserve"> Legacy-ERP-Systeme in die Cloud</w:t>
      </w:r>
      <w:r w:rsidR="00103631">
        <w:rPr>
          <w:rFonts w:cs="Arial"/>
          <w:color w:val="auto"/>
          <w:szCs w:val="20"/>
          <w:lang w:val="de-DE"/>
        </w:rPr>
        <w:t xml:space="preserve"> zu verlagern</w:t>
      </w:r>
      <w:r w:rsidRPr="00A44126">
        <w:rPr>
          <w:rFonts w:cs="Arial"/>
          <w:color w:val="auto"/>
          <w:szCs w:val="20"/>
          <w:lang w:val="de-DE"/>
        </w:rPr>
        <w:t>,</w:t>
      </w:r>
      <w:r>
        <w:rPr>
          <w:rFonts w:cs="Arial"/>
          <w:color w:val="auto"/>
          <w:szCs w:val="20"/>
          <w:lang w:val="de-DE"/>
        </w:rPr>
        <w:t xml:space="preserve"> um</w:t>
      </w:r>
      <w:r w:rsidRPr="00A44126">
        <w:rPr>
          <w:rFonts w:cs="Arial"/>
          <w:color w:val="auto"/>
          <w:szCs w:val="20"/>
          <w:lang w:val="de-DE"/>
        </w:rPr>
        <w:t xml:space="preserve"> </w:t>
      </w:r>
      <w:r>
        <w:rPr>
          <w:rFonts w:cs="Arial"/>
          <w:color w:val="auto"/>
          <w:szCs w:val="20"/>
          <w:lang w:val="de-DE"/>
        </w:rPr>
        <w:t>K</w:t>
      </w:r>
      <w:r w:rsidRPr="00A44126">
        <w:rPr>
          <w:rFonts w:cs="Arial"/>
          <w:color w:val="auto"/>
          <w:szCs w:val="20"/>
          <w:lang w:val="de-DE"/>
        </w:rPr>
        <w:t>osteneinsparungen</w:t>
      </w:r>
      <w:r>
        <w:rPr>
          <w:rFonts w:cs="Arial"/>
          <w:color w:val="auto"/>
          <w:szCs w:val="20"/>
          <w:lang w:val="de-DE"/>
        </w:rPr>
        <w:t xml:space="preserve"> in der Infrastruktur</w:t>
      </w:r>
      <w:r w:rsidRPr="00A44126">
        <w:rPr>
          <w:rFonts w:cs="Arial"/>
          <w:color w:val="auto"/>
          <w:szCs w:val="20"/>
          <w:lang w:val="de-DE"/>
        </w:rPr>
        <w:t xml:space="preserve"> zu realisieren. Für viele Unternehmen wird die Verlagerung von ERP in die Cloud </w:t>
      </w:r>
      <w:r w:rsidR="00261956">
        <w:rPr>
          <w:rFonts w:cs="Arial"/>
          <w:color w:val="auto"/>
          <w:szCs w:val="20"/>
          <w:lang w:val="de-DE"/>
        </w:rPr>
        <w:t>zur</w:t>
      </w:r>
      <w:r w:rsidRPr="00A44126">
        <w:rPr>
          <w:rFonts w:cs="Arial"/>
          <w:color w:val="auto"/>
          <w:szCs w:val="20"/>
          <w:lang w:val="de-DE"/>
        </w:rPr>
        <w:t xml:space="preserve"> Grundlage für </w:t>
      </w:r>
      <w:r w:rsidR="00000601">
        <w:rPr>
          <w:rFonts w:cs="Arial"/>
          <w:color w:val="auto"/>
          <w:szCs w:val="20"/>
          <w:lang w:val="de-DE"/>
        </w:rPr>
        <w:t>lukrativere</w:t>
      </w:r>
      <w:r w:rsidRPr="00A44126">
        <w:rPr>
          <w:rFonts w:cs="Arial"/>
          <w:color w:val="auto"/>
          <w:szCs w:val="20"/>
          <w:lang w:val="de-DE"/>
        </w:rPr>
        <w:t>, umfassendere digitale Transformations</w:t>
      </w:r>
      <w:r>
        <w:rPr>
          <w:rFonts w:cs="Arial"/>
          <w:color w:val="auto"/>
          <w:szCs w:val="20"/>
          <w:lang w:val="de-DE"/>
        </w:rPr>
        <w:t>projekte</w:t>
      </w:r>
      <w:r w:rsidR="003811FC">
        <w:rPr>
          <w:rFonts w:cs="Arial"/>
          <w:color w:val="auto"/>
          <w:szCs w:val="20"/>
          <w:lang w:val="de-DE"/>
        </w:rPr>
        <w:t>, um Geschäftsmodelle im Wandel zu unterstützen</w:t>
      </w:r>
      <w:r w:rsidRPr="00A44126">
        <w:rPr>
          <w:rFonts w:cs="Arial"/>
          <w:color w:val="auto"/>
          <w:szCs w:val="20"/>
          <w:lang w:val="de-DE"/>
        </w:rPr>
        <w:t>.</w:t>
      </w:r>
    </w:p>
    <w:p w14:paraId="04C563B7" w14:textId="6D2870EA" w:rsidR="003D0D6D" w:rsidRDefault="00A44126" w:rsidP="00F21AC3">
      <w:pPr>
        <w:jc w:val="both"/>
        <w:rPr>
          <w:color w:val="auto"/>
          <w:lang w:val="de-DE"/>
        </w:rPr>
      </w:pPr>
      <w:r>
        <w:rPr>
          <w:color w:val="auto"/>
          <w:lang w:val="de-DE"/>
        </w:rPr>
        <w:lastRenderedPageBreak/>
        <w:t xml:space="preserve">Um mehr über </w:t>
      </w:r>
      <w:r w:rsidRPr="00A44126">
        <w:rPr>
          <w:color w:val="auto"/>
          <w:lang w:val="de-DE"/>
        </w:rPr>
        <w:t>den Nelson NEAT Report für die Kategorie SAP</w:t>
      </w:r>
      <w:r w:rsidR="008849EB">
        <w:rPr>
          <w:color w:val="auto"/>
          <w:lang w:val="de-DE"/>
        </w:rPr>
        <w:t xml:space="preserve"> </w:t>
      </w:r>
      <w:r w:rsidRPr="00A44126">
        <w:rPr>
          <w:color w:val="auto"/>
          <w:lang w:val="de-DE"/>
        </w:rPr>
        <w:t>Cloud Migration Service</w:t>
      </w:r>
      <w:r>
        <w:rPr>
          <w:color w:val="auto"/>
          <w:lang w:val="de-DE"/>
        </w:rPr>
        <w:t xml:space="preserve">s zu erfahren, laden Sie den </w:t>
      </w:r>
      <w:hyperlink r:id="rId8" w:history="1">
        <w:r w:rsidRPr="0064532F">
          <w:rPr>
            <w:rStyle w:val="Hyperlink"/>
            <w:lang w:val="de-DE"/>
          </w:rPr>
          <w:t>Bericht</w:t>
        </w:r>
      </w:hyperlink>
      <w:r>
        <w:rPr>
          <w:color w:val="auto"/>
          <w:lang w:val="de-DE"/>
        </w:rPr>
        <w:t xml:space="preserve"> herunter.</w:t>
      </w:r>
    </w:p>
    <w:p w14:paraId="41489F82" w14:textId="77777777" w:rsidR="003D0D6D" w:rsidRDefault="003D0D6D" w:rsidP="00F21AC3">
      <w:pPr>
        <w:jc w:val="both"/>
        <w:rPr>
          <w:color w:val="auto"/>
          <w:lang w:val="de-DE"/>
        </w:rPr>
      </w:pPr>
    </w:p>
    <w:p w14:paraId="403FA91F" w14:textId="431AA3CA"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sectPr w:rsidR="009C5EDC">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FDD0" w14:textId="77777777" w:rsidR="00E11BA7" w:rsidRDefault="00E11BA7">
      <w:pPr>
        <w:spacing w:before="0" w:after="0"/>
      </w:pPr>
      <w:r>
        <w:separator/>
      </w:r>
    </w:p>
  </w:endnote>
  <w:endnote w:type="continuationSeparator" w:id="0">
    <w:p w14:paraId="4EE2D518" w14:textId="77777777" w:rsidR="00E11BA7" w:rsidRDefault="00E11B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榫핾"/>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E39A" w14:textId="77777777" w:rsidR="00E11BA7" w:rsidRDefault="00E11BA7">
      <w:pPr>
        <w:spacing w:before="0" w:after="0"/>
      </w:pPr>
      <w:r>
        <w:separator/>
      </w:r>
    </w:p>
  </w:footnote>
  <w:footnote w:type="continuationSeparator" w:id="0">
    <w:p w14:paraId="63C314DF" w14:textId="77777777" w:rsidR="00E11BA7" w:rsidRDefault="00E11B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0601"/>
    <w:rsid w:val="00001902"/>
    <w:rsid w:val="00010377"/>
    <w:rsid w:val="00012291"/>
    <w:rsid w:val="00023B6A"/>
    <w:rsid w:val="00023D13"/>
    <w:rsid w:val="0002431E"/>
    <w:rsid w:val="00031A36"/>
    <w:rsid w:val="00036BA5"/>
    <w:rsid w:val="000378A3"/>
    <w:rsid w:val="00037997"/>
    <w:rsid w:val="00043ACF"/>
    <w:rsid w:val="00053429"/>
    <w:rsid w:val="00054CEB"/>
    <w:rsid w:val="00057F28"/>
    <w:rsid w:val="00077F54"/>
    <w:rsid w:val="00083B41"/>
    <w:rsid w:val="00085974"/>
    <w:rsid w:val="00087C9A"/>
    <w:rsid w:val="00094A03"/>
    <w:rsid w:val="000B4710"/>
    <w:rsid w:val="000B7AF7"/>
    <w:rsid w:val="000C7838"/>
    <w:rsid w:val="000D1937"/>
    <w:rsid w:val="000D79F9"/>
    <w:rsid w:val="000E368C"/>
    <w:rsid w:val="000E3A6A"/>
    <w:rsid w:val="00102EC1"/>
    <w:rsid w:val="00103347"/>
    <w:rsid w:val="00103631"/>
    <w:rsid w:val="001075BB"/>
    <w:rsid w:val="00110B43"/>
    <w:rsid w:val="001202CA"/>
    <w:rsid w:val="0012149D"/>
    <w:rsid w:val="00123D43"/>
    <w:rsid w:val="00126F7F"/>
    <w:rsid w:val="00127563"/>
    <w:rsid w:val="00132F6D"/>
    <w:rsid w:val="00136123"/>
    <w:rsid w:val="001365C6"/>
    <w:rsid w:val="0013777D"/>
    <w:rsid w:val="00137C9A"/>
    <w:rsid w:val="00142A09"/>
    <w:rsid w:val="00142E95"/>
    <w:rsid w:val="00145594"/>
    <w:rsid w:val="001503BD"/>
    <w:rsid w:val="00152FE9"/>
    <w:rsid w:val="00157081"/>
    <w:rsid w:val="0015763F"/>
    <w:rsid w:val="00161EBC"/>
    <w:rsid w:val="00163652"/>
    <w:rsid w:val="00165E04"/>
    <w:rsid w:val="001746D1"/>
    <w:rsid w:val="001750E5"/>
    <w:rsid w:val="001752CC"/>
    <w:rsid w:val="00192059"/>
    <w:rsid w:val="001A53B1"/>
    <w:rsid w:val="001B3FD5"/>
    <w:rsid w:val="001B52B4"/>
    <w:rsid w:val="001C2314"/>
    <w:rsid w:val="001C41F5"/>
    <w:rsid w:val="001C4B39"/>
    <w:rsid w:val="001C5A7E"/>
    <w:rsid w:val="001C7948"/>
    <w:rsid w:val="001E0992"/>
    <w:rsid w:val="001E110E"/>
    <w:rsid w:val="001E164D"/>
    <w:rsid w:val="001E1E81"/>
    <w:rsid w:val="001E22A6"/>
    <w:rsid w:val="001F1143"/>
    <w:rsid w:val="00200AF1"/>
    <w:rsid w:val="0021157A"/>
    <w:rsid w:val="00213D83"/>
    <w:rsid w:val="002147B0"/>
    <w:rsid w:val="00221C48"/>
    <w:rsid w:val="0022774F"/>
    <w:rsid w:val="00233C7B"/>
    <w:rsid w:val="00240F2F"/>
    <w:rsid w:val="00256415"/>
    <w:rsid w:val="00261956"/>
    <w:rsid w:val="00263904"/>
    <w:rsid w:val="00264AEF"/>
    <w:rsid w:val="00266CFF"/>
    <w:rsid w:val="00275B23"/>
    <w:rsid w:val="00275C07"/>
    <w:rsid w:val="00281A1E"/>
    <w:rsid w:val="00286930"/>
    <w:rsid w:val="00291BBA"/>
    <w:rsid w:val="0029767C"/>
    <w:rsid w:val="002A4738"/>
    <w:rsid w:val="002A476C"/>
    <w:rsid w:val="002A573C"/>
    <w:rsid w:val="002A66FA"/>
    <w:rsid w:val="002A6702"/>
    <w:rsid w:val="002B78A8"/>
    <w:rsid w:val="002C21E6"/>
    <w:rsid w:val="002C7461"/>
    <w:rsid w:val="002D79BA"/>
    <w:rsid w:val="002E10EF"/>
    <w:rsid w:val="002E356F"/>
    <w:rsid w:val="002E5C04"/>
    <w:rsid w:val="002E697B"/>
    <w:rsid w:val="002F1697"/>
    <w:rsid w:val="00301F40"/>
    <w:rsid w:val="003030F9"/>
    <w:rsid w:val="00303F2D"/>
    <w:rsid w:val="00310A3F"/>
    <w:rsid w:val="00321528"/>
    <w:rsid w:val="00330AB0"/>
    <w:rsid w:val="00335D0C"/>
    <w:rsid w:val="0034076C"/>
    <w:rsid w:val="003513D9"/>
    <w:rsid w:val="00354675"/>
    <w:rsid w:val="00357E72"/>
    <w:rsid w:val="0036180E"/>
    <w:rsid w:val="003627F1"/>
    <w:rsid w:val="003811FC"/>
    <w:rsid w:val="00381ABE"/>
    <w:rsid w:val="00387B85"/>
    <w:rsid w:val="00387C5E"/>
    <w:rsid w:val="00390060"/>
    <w:rsid w:val="0039503C"/>
    <w:rsid w:val="003A2F25"/>
    <w:rsid w:val="003A643C"/>
    <w:rsid w:val="003B179C"/>
    <w:rsid w:val="003B4905"/>
    <w:rsid w:val="003B526D"/>
    <w:rsid w:val="003B6B78"/>
    <w:rsid w:val="003C4001"/>
    <w:rsid w:val="003C51E3"/>
    <w:rsid w:val="003D0D6D"/>
    <w:rsid w:val="003E1F27"/>
    <w:rsid w:val="003E4912"/>
    <w:rsid w:val="00404A23"/>
    <w:rsid w:val="00410A50"/>
    <w:rsid w:val="00453E4C"/>
    <w:rsid w:val="004558F9"/>
    <w:rsid w:val="00455DA4"/>
    <w:rsid w:val="00462DC0"/>
    <w:rsid w:val="00474C26"/>
    <w:rsid w:val="00480B20"/>
    <w:rsid w:val="00482A87"/>
    <w:rsid w:val="00490712"/>
    <w:rsid w:val="004938EA"/>
    <w:rsid w:val="004943C9"/>
    <w:rsid w:val="004944B6"/>
    <w:rsid w:val="004957C0"/>
    <w:rsid w:val="004A37D0"/>
    <w:rsid w:val="004B0018"/>
    <w:rsid w:val="004B1D50"/>
    <w:rsid w:val="004B5D0C"/>
    <w:rsid w:val="004B5D15"/>
    <w:rsid w:val="004B69BE"/>
    <w:rsid w:val="004C1212"/>
    <w:rsid w:val="004D5BF1"/>
    <w:rsid w:val="004D7B8F"/>
    <w:rsid w:val="004D7FD9"/>
    <w:rsid w:val="004E6F85"/>
    <w:rsid w:val="004F1106"/>
    <w:rsid w:val="004F7EE2"/>
    <w:rsid w:val="00502274"/>
    <w:rsid w:val="00516A76"/>
    <w:rsid w:val="00516C60"/>
    <w:rsid w:val="00520C7B"/>
    <w:rsid w:val="00522CBF"/>
    <w:rsid w:val="00523016"/>
    <w:rsid w:val="00523A09"/>
    <w:rsid w:val="00525FE8"/>
    <w:rsid w:val="005359CC"/>
    <w:rsid w:val="005400DE"/>
    <w:rsid w:val="00540F07"/>
    <w:rsid w:val="005446F6"/>
    <w:rsid w:val="00545407"/>
    <w:rsid w:val="0055516E"/>
    <w:rsid w:val="00557593"/>
    <w:rsid w:val="00557AA5"/>
    <w:rsid w:val="00564CF2"/>
    <w:rsid w:val="005735F9"/>
    <w:rsid w:val="00575741"/>
    <w:rsid w:val="00595A77"/>
    <w:rsid w:val="005A11C3"/>
    <w:rsid w:val="005A690A"/>
    <w:rsid w:val="005B326D"/>
    <w:rsid w:val="005B4401"/>
    <w:rsid w:val="005B50B1"/>
    <w:rsid w:val="005B5491"/>
    <w:rsid w:val="005B5CA1"/>
    <w:rsid w:val="005C4141"/>
    <w:rsid w:val="005D1FE1"/>
    <w:rsid w:val="005F18CA"/>
    <w:rsid w:val="00606AFC"/>
    <w:rsid w:val="00611AF3"/>
    <w:rsid w:val="00620324"/>
    <w:rsid w:val="00621452"/>
    <w:rsid w:val="00624956"/>
    <w:rsid w:val="00634DFA"/>
    <w:rsid w:val="0064532F"/>
    <w:rsid w:val="00645F15"/>
    <w:rsid w:val="00647122"/>
    <w:rsid w:val="006501E5"/>
    <w:rsid w:val="00663BBF"/>
    <w:rsid w:val="00664EC0"/>
    <w:rsid w:val="00666593"/>
    <w:rsid w:val="00671B91"/>
    <w:rsid w:val="00672837"/>
    <w:rsid w:val="00683171"/>
    <w:rsid w:val="0068720C"/>
    <w:rsid w:val="006A39D1"/>
    <w:rsid w:val="006A69FD"/>
    <w:rsid w:val="006A6C31"/>
    <w:rsid w:val="006B48C0"/>
    <w:rsid w:val="006B54A0"/>
    <w:rsid w:val="006D046A"/>
    <w:rsid w:val="006D0535"/>
    <w:rsid w:val="006D0CA7"/>
    <w:rsid w:val="006D5686"/>
    <w:rsid w:val="006E3109"/>
    <w:rsid w:val="006E4A61"/>
    <w:rsid w:val="006F040C"/>
    <w:rsid w:val="006F2673"/>
    <w:rsid w:val="006F74D6"/>
    <w:rsid w:val="007042BC"/>
    <w:rsid w:val="0071033E"/>
    <w:rsid w:val="00710B82"/>
    <w:rsid w:val="007206DD"/>
    <w:rsid w:val="00725627"/>
    <w:rsid w:val="00725941"/>
    <w:rsid w:val="007278B8"/>
    <w:rsid w:val="00733FED"/>
    <w:rsid w:val="0073695D"/>
    <w:rsid w:val="00745E1C"/>
    <w:rsid w:val="00746128"/>
    <w:rsid w:val="00746238"/>
    <w:rsid w:val="00747772"/>
    <w:rsid w:val="00760456"/>
    <w:rsid w:val="00766FE7"/>
    <w:rsid w:val="00774EBB"/>
    <w:rsid w:val="00775C19"/>
    <w:rsid w:val="00776F77"/>
    <w:rsid w:val="00781127"/>
    <w:rsid w:val="00782740"/>
    <w:rsid w:val="00785ECF"/>
    <w:rsid w:val="007970CC"/>
    <w:rsid w:val="007A2386"/>
    <w:rsid w:val="007A60FF"/>
    <w:rsid w:val="007C1582"/>
    <w:rsid w:val="007C198C"/>
    <w:rsid w:val="007C25C5"/>
    <w:rsid w:val="007D3473"/>
    <w:rsid w:val="007D4B69"/>
    <w:rsid w:val="007D4C16"/>
    <w:rsid w:val="007D6902"/>
    <w:rsid w:val="007D69C4"/>
    <w:rsid w:val="007E4004"/>
    <w:rsid w:val="007F245D"/>
    <w:rsid w:val="007F7015"/>
    <w:rsid w:val="007F7D14"/>
    <w:rsid w:val="00807122"/>
    <w:rsid w:val="00811D56"/>
    <w:rsid w:val="00813DB0"/>
    <w:rsid w:val="00817132"/>
    <w:rsid w:val="00833042"/>
    <w:rsid w:val="00842933"/>
    <w:rsid w:val="00844E40"/>
    <w:rsid w:val="008472C0"/>
    <w:rsid w:val="008577D7"/>
    <w:rsid w:val="008614D5"/>
    <w:rsid w:val="00863E33"/>
    <w:rsid w:val="0086422B"/>
    <w:rsid w:val="00873476"/>
    <w:rsid w:val="008758E4"/>
    <w:rsid w:val="00875ABA"/>
    <w:rsid w:val="00875D87"/>
    <w:rsid w:val="00876440"/>
    <w:rsid w:val="00877B37"/>
    <w:rsid w:val="008849EB"/>
    <w:rsid w:val="00887699"/>
    <w:rsid w:val="00890A87"/>
    <w:rsid w:val="00892198"/>
    <w:rsid w:val="0089288A"/>
    <w:rsid w:val="00892CF6"/>
    <w:rsid w:val="0089356F"/>
    <w:rsid w:val="00895870"/>
    <w:rsid w:val="00897CF9"/>
    <w:rsid w:val="008A250C"/>
    <w:rsid w:val="008A6DCA"/>
    <w:rsid w:val="008B15FF"/>
    <w:rsid w:val="008B547F"/>
    <w:rsid w:val="008E0D40"/>
    <w:rsid w:val="008E6D87"/>
    <w:rsid w:val="008F3F0B"/>
    <w:rsid w:val="008F774A"/>
    <w:rsid w:val="00903FDF"/>
    <w:rsid w:val="0091011D"/>
    <w:rsid w:val="009103BA"/>
    <w:rsid w:val="00911C1C"/>
    <w:rsid w:val="009123AE"/>
    <w:rsid w:val="00915605"/>
    <w:rsid w:val="00917358"/>
    <w:rsid w:val="00917822"/>
    <w:rsid w:val="00921C88"/>
    <w:rsid w:val="00934361"/>
    <w:rsid w:val="009432B3"/>
    <w:rsid w:val="0094625A"/>
    <w:rsid w:val="00947F14"/>
    <w:rsid w:val="0095279F"/>
    <w:rsid w:val="009556AD"/>
    <w:rsid w:val="0095587C"/>
    <w:rsid w:val="00962FE7"/>
    <w:rsid w:val="009658C2"/>
    <w:rsid w:val="00966ED1"/>
    <w:rsid w:val="009736CF"/>
    <w:rsid w:val="00975883"/>
    <w:rsid w:val="00976FA1"/>
    <w:rsid w:val="00986BD0"/>
    <w:rsid w:val="00987358"/>
    <w:rsid w:val="00993530"/>
    <w:rsid w:val="009A26AA"/>
    <w:rsid w:val="009A47C7"/>
    <w:rsid w:val="009A559E"/>
    <w:rsid w:val="009B0940"/>
    <w:rsid w:val="009B0F2E"/>
    <w:rsid w:val="009B1C34"/>
    <w:rsid w:val="009C5EDC"/>
    <w:rsid w:val="009D00FF"/>
    <w:rsid w:val="009D3AD8"/>
    <w:rsid w:val="009E5A6C"/>
    <w:rsid w:val="009F686D"/>
    <w:rsid w:val="00A03968"/>
    <w:rsid w:val="00A0500B"/>
    <w:rsid w:val="00A10B64"/>
    <w:rsid w:val="00A146B7"/>
    <w:rsid w:val="00A1507E"/>
    <w:rsid w:val="00A24FA0"/>
    <w:rsid w:val="00A308BD"/>
    <w:rsid w:val="00A31E8E"/>
    <w:rsid w:val="00A34B4C"/>
    <w:rsid w:val="00A36602"/>
    <w:rsid w:val="00A36798"/>
    <w:rsid w:val="00A36F76"/>
    <w:rsid w:val="00A3723A"/>
    <w:rsid w:val="00A372D2"/>
    <w:rsid w:val="00A4115E"/>
    <w:rsid w:val="00A44126"/>
    <w:rsid w:val="00A446EB"/>
    <w:rsid w:val="00A474CA"/>
    <w:rsid w:val="00A53BEE"/>
    <w:rsid w:val="00A54467"/>
    <w:rsid w:val="00A5699D"/>
    <w:rsid w:val="00A60A9A"/>
    <w:rsid w:val="00A61E98"/>
    <w:rsid w:val="00A6601A"/>
    <w:rsid w:val="00A6634D"/>
    <w:rsid w:val="00A66BD1"/>
    <w:rsid w:val="00A66DDA"/>
    <w:rsid w:val="00A81FE2"/>
    <w:rsid w:val="00A928F0"/>
    <w:rsid w:val="00AA5BD4"/>
    <w:rsid w:val="00AA6254"/>
    <w:rsid w:val="00AA6D63"/>
    <w:rsid w:val="00AB66AB"/>
    <w:rsid w:val="00AB793C"/>
    <w:rsid w:val="00AE02C8"/>
    <w:rsid w:val="00AE3BDA"/>
    <w:rsid w:val="00AF0182"/>
    <w:rsid w:val="00AF2792"/>
    <w:rsid w:val="00AF33A0"/>
    <w:rsid w:val="00AF446C"/>
    <w:rsid w:val="00AF4FF5"/>
    <w:rsid w:val="00B00D0C"/>
    <w:rsid w:val="00B1161A"/>
    <w:rsid w:val="00B14FF6"/>
    <w:rsid w:val="00B20415"/>
    <w:rsid w:val="00B21844"/>
    <w:rsid w:val="00B34C11"/>
    <w:rsid w:val="00B35CE1"/>
    <w:rsid w:val="00B36751"/>
    <w:rsid w:val="00B40CBB"/>
    <w:rsid w:val="00B42718"/>
    <w:rsid w:val="00B45E68"/>
    <w:rsid w:val="00B63920"/>
    <w:rsid w:val="00B65F5E"/>
    <w:rsid w:val="00B73A68"/>
    <w:rsid w:val="00B754E4"/>
    <w:rsid w:val="00B76440"/>
    <w:rsid w:val="00B826F1"/>
    <w:rsid w:val="00B8543F"/>
    <w:rsid w:val="00B87FBB"/>
    <w:rsid w:val="00B915E3"/>
    <w:rsid w:val="00BA0842"/>
    <w:rsid w:val="00BA0D68"/>
    <w:rsid w:val="00BC4A76"/>
    <w:rsid w:val="00BD1631"/>
    <w:rsid w:val="00BD56DD"/>
    <w:rsid w:val="00BD716E"/>
    <w:rsid w:val="00BE00A7"/>
    <w:rsid w:val="00BE5CA1"/>
    <w:rsid w:val="00BE5DE9"/>
    <w:rsid w:val="00BF3B06"/>
    <w:rsid w:val="00C06C93"/>
    <w:rsid w:val="00C14E1C"/>
    <w:rsid w:val="00C1555B"/>
    <w:rsid w:val="00C23A77"/>
    <w:rsid w:val="00C24D8D"/>
    <w:rsid w:val="00C25F51"/>
    <w:rsid w:val="00C3642A"/>
    <w:rsid w:val="00C40B67"/>
    <w:rsid w:val="00C5077E"/>
    <w:rsid w:val="00C533EF"/>
    <w:rsid w:val="00C557FB"/>
    <w:rsid w:val="00C57E2F"/>
    <w:rsid w:val="00C607BB"/>
    <w:rsid w:val="00C62847"/>
    <w:rsid w:val="00C62CD7"/>
    <w:rsid w:val="00C67B6C"/>
    <w:rsid w:val="00C81D7E"/>
    <w:rsid w:val="00C823A1"/>
    <w:rsid w:val="00C82889"/>
    <w:rsid w:val="00C86A30"/>
    <w:rsid w:val="00C86F6F"/>
    <w:rsid w:val="00C87F2F"/>
    <w:rsid w:val="00C90F3E"/>
    <w:rsid w:val="00CB05D3"/>
    <w:rsid w:val="00CB24C2"/>
    <w:rsid w:val="00CB26E1"/>
    <w:rsid w:val="00CB35E2"/>
    <w:rsid w:val="00CB72EE"/>
    <w:rsid w:val="00CC70C7"/>
    <w:rsid w:val="00CD08D9"/>
    <w:rsid w:val="00CD659C"/>
    <w:rsid w:val="00CF03C5"/>
    <w:rsid w:val="00CF2268"/>
    <w:rsid w:val="00CF5928"/>
    <w:rsid w:val="00CF60B6"/>
    <w:rsid w:val="00CF732C"/>
    <w:rsid w:val="00D07478"/>
    <w:rsid w:val="00D13622"/>
    <w:rsid w:val="00D14B95"/>
    <w:rsid w:val="00D151C6"/>
    <w:rsid w:val="00D15224"/>
    <w:rsid w:val="00D154AB"/>
    <w:rsid w:val="00D16D5B"/>
    <w:rsid w:val="00D2732A"/>
    <w:rsid w:val="00D32073"/>
    <w:rsid w:val="00D34E89"/>
    <w:rsid w:val="00D40040"/>
    <w:rsid w:val="00D43A4C"/>
    <w:rsid w:val="00D51104"/>
    <w:rsid w:val="00D52BA2"/>
    <w:rsid w:val="00D54038"/>
    <w:rsid w:val="00D5794D"/>
    <w:rsid w:val="00D60856"/>
    <w:rsid w:val="00D65C9B"/>
    <w:rsid w:val="00D71E55"/>
    <w:rsid w:val="00D72C6D"/>
    <w:rsid w:val="00D82B4D"/>
    <w:rsid w:val="00D8322C"/>
    <w:rsid w:val="00D83DE1"/>
    <w:rsid w:val="00D86FDC"/>
    <w:rsid w:val="00D876E1"/>
    <w:rsid w:val="00D97297"/>
    <w:rsid w:val="00DA544B"/>
    <w:rsid w:val="00DB54AB"/>
    <w:rsid w:val="00DB69F6"/>
    <w:rsid w:val="00DC006A"/>
    <w:rsid w:val="00DC104A"/>
    <w:rsid w:val="00DC1B8D"/>
    <w:rsid w:val="00DC3FB5"/>
    <w:rsid w:val="00DD276C"/>
    <w:rsid w:val="00DD6FD8"/>
    <w:rsid w:val="00DD760B"/>
    <w:rsid w:val="00DE41D4"/>
    <w:rsid w:val="00DF2172"/>
    <w:rsid w:val="00DF2BEE"/>
    <w:rsid w:val="00DF3217"/>
    <w:rsid w:val="00DF3ED0"/>
    <w:rsid w:val="00DF7BB9"/>
    <w:rsid w:val="00E020E6"/>
    <w:rsid w:val="00E02EE2"/>
    <w:rsid w:val="00E05266"/>
    <w:rsid w:val="00E0663F"/>
    <w:rsid w:val="00E103D6"/>
    <w:rsid w:val="00E11BA7"/>
    <w:rsid w:val="00E11C67"/>
    <w:rsid w:val="00E1285A"/>
    <w:rsid w:val="00E15CC3"/>
    <w:rsid w:val="00E23928"/>
    <w:rsid w:val="00E30C40"/>
    <w:rsid w:val="00E32FBD"/>
    <w:rsid w:val="00E34202"/>
    <w:rsid w:val="00E34C92"/>
    <w:rsid w:val="00E36210"/>
    <w:rsid w:val="00E54EFC"/>
    <w:rsid w:val="00E5771F"/>
    <w:rsid w:val="00E61AD8"/>
    <w:rsid w:val="00E819EC"/>
    <w:rsid w:val="00E843DC"/>
    <w:rsid w:val="00E84C40"/>
    <w:rsid w:val="00E859EB"/>
    <w:rsid w:val="00E86126"/>
    <w:rsid w:val="00E92B5B"/>
    <w:rsid w:val="00E945F8"/>
    <w:rsid w:val="00EA31D4"/>
    <w:rsid w:val="00EB25E0"/>
    <w:rsid w:val="00EB44B8"/>
    <w:rsid w:val="00EB48D4"/>
    <w:rsid w:val="00EB5B1C"/>
    <w:rsid w:val="00EB79BF"/>
    <w:rsid w:val="00EC1C05"/>
    <w:rsid w:val="00ED3372"/>
    <w:rsid w:val="00ED5438"/>
    <w:rsid w:val="00EE02E1"/>
    <w:rsid w:val="00EF094E"/>
    <w:rsid w:val="00EF4329"/>
    <w:rsid w:val="00F02891"/>
    <w:rsid w:val="00F07289"/>
    <w:rsid w:val="00F1577A"/>
    <w:rsid w:val="00F15BC3"/>
    <w:rsid w:val="00F16556"/>
    <w:rsid w:val="00F21852"/>
    <w:rsid w:val="00F21AC3"/>
    <w:rsid w:val="00F27C2F"/>
    <w:rsid w:val="00F31AD1"/>
    <w:rsid w:val="00F332AE"/>
    <w:rsid w:val="00F354A9"/>
    <w:rsid w:val="00F52969"/>
    <w:rsid w:val="00F52A09"/>
    <w:rsid w:val="00F53104"/>
    <w:rsid w:val="00F56D88"/>
    <w:rsid w:val="00F610E2"/>
    <w:rsid w:val="00F625AF"/>
    <w:rsid w:val="00F659EF"/>
    <w:rsid w:val="00F67387"/>
    <w:rsid w:val="00F721E9"/>
    <w:rsid w:val="00F75929"/>
    <w:rsid w:val="00F776EA"/>
    <w:rsid w:val="00F848FA"/>
    <w:rsid w:val="00F91F74"/>
    <w:rsid w:val="00F92BA8"/>
    <w:rsid w:val="00F93D4F"/>
    <w:rsid w:val="00FC1935"/>
    <w:rsid w:val="00FE11C8"/>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21AC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4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Insights/Whitepapers/NelsonHall-SAP-Cloud-Migration-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A743-B404-4C3A-9556-CEF1459B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2021-03-24T12:34:00Z</dcterms:created>
  <dcterms:modified xsi:type="dcterms:W3CDTF">2021-03-24T12:34:00Z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