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BBA5" w14:textId="10E00DB8" w:rsidR="00B0084D" w:rsidRPr="00634EE4" w:rsidRDefault="005772C3" w:rsidP="005E3785">
      <w:pPr>
        <w:tabs>
          <w:tab w:val="left" w:pos="4962"/>
        </w:tabs>
        <w:ind w:right="3456"/>
        <w:rPr>
          <w:rFonts w:ascii="Arial" w:hAnsi="Arial" w:cs="Arial"/>
          <w:sz w:val="28"/>
          <w:szCs w:val="28"/>
        </w:rPr>
      </w:pPr>
    </w:p>
    <w:p w14:paraId="01919692" w14:textId="3F93390D" w:rsidR="00845677" w:rsidRDefault="00845677" w:rsidP="005E1D39">
      <w:pPr>
        <w:spacing w:line="360" w:lineRule="auto"/>
        <w:ind w:right="1008"/>
        <w:rPr>
          <w:rFonts w:ascii="Arial" w:hAnsi="Arial" w:cs="Arial"/>
          <w:sz w:val="28"/>
          <w:szCs w:val="28"/>
          <w:lang w:val="en-US"/>
        </w:rPr>
      </w:pPr>
    </w:p>
    <w:p w14:paraId="4312D305" w14:textId="77777777" w:rsidR="007716CF" w:rsidRPr="007716CF" w:rsidRDefault="007716CF" w:rsidP="007716CF">
      <w:pPr>
        <w:jc w:val="center"/>
        <w:rPr>
          <w:rFonts w:ascii="Arial" w:eastAsia="Times New Roman" w:hAnsi="Arial" w:cstheme="minorBidi"/>
          <w:b/>
          <w:bCs/>
          <w:noProof/>
          <w:color w:val="222222"/>
          <w:sz w:val="28"/>
          <w:szCs w:val="28"/>
          <w:lang w:val="de-DE" w:eastAsia="en-US"/>
        </w:rPr>
      </w:pPr>
      <w:r w:rsidRPr="007716CF">
        <w:rPr>
          <w:rFonts w:ascii="Arial" w:eastAsia="Times New Roman" w:hAnsi="Arial" w:cstheme="minorBidi"/>
          <w:b/>
          <w:bCs/>
          <w:noProof/>
          <w:color w:val="222222"/>
          <w:sz w:val="28"/>
          <w:szCs w:val="28"/>
          <w:lang w:val="de-DE" w:eastAsia="en-US"/>
        </w:rPr>
        <w:t>NTT</w:t>
      </w:r>
      <w:r w:rsidRPr="007716CF">
        <w:rPr>
          <w:rFonts w:asciiTheme="minorHAnsi" w:eastAsia="Times New Roman" w:hAnsiTheme="minorHAnsi" w:cstheme="minorBidi"/>
          <w:sz w:val="28"/>
          <w:szCs w:val="28"/>
          <w:lang w:val="de-DE" w:eastAsia="en-US"/>
        </w:rPr>
        <w:t xml:space="preserve"> </w:t>
      </w:r>
      <w:r w:rsidRPr="007716CF">
        <w:rPr>
          <w:rFonts w:ascii="Arial" w:eastAsia="Times New Roman" w:hAnsi="Arial" w:cstheme="minorBidi"/>
          <w:b/>
          <w:bCs/>
          <w:noProof/>
          <w:color w:val="222222"/>
          <w:sz w:val="28"/>
          <w:szCs w:val="28"/>
          <w:lang w:val="de-DE" w:eastAsia="en-US"/>
        </w:rPr>
        <w:t xml:space="preserve">DATA in „SAP Services PEAK Matrix“-Bericht der Everest Group als Leader ausgezeichnet </w:t>
      </w:r>
    </w:p>
    <w:p w14:paraId="44364C7F" w14:textId="77777777" w:rsidR="007716CF" w:rsidRPr="007716CF" w:rsidRDefault="007716CF" w:rsidP="007716CF">
      <w:pPr>
        <w:jc w:val="center"/>
        <w:rPr>
          <w:rFonts w:asciiTheme="minorHAnsi" w:eastAsia="Times New Roman" w:hAnsiTheme="minorHAnsi" w:cstheme="minorHAnsi"/>
          <w:sz w:val="28"/>
          <w:szCs w:val="28"/>
          <w:lang w:val="de-DE" w:eastAsia="en-US"/>
        </w:rPr>
      </w:pPr>
    </w:p>
    <w:p w14:paraId="72216A44" w14:textId="77777777" w:rsidR="007716CF" w:rsidRPr="007716CF" w:rsidRDefault="007716CF" w:rsidP="007716CF">
      <w:pPr>
        <w:jc w:val="center"/>
        <w:rPr>
          <w:rFonts w:ascii="Arial" w:eastAsia="Times New Roman" w:hAnsi="Arial" w:cs="Arial"/>
          <w:iCs/>
          <w:lang w:val="de-DE" w:eastAsia="en-US"/>
        </w:rPr>
      </w:pPr>
      <w:r w:rsidRPr="007716CF">
        <w:rPr>
          <w:rFonts w:ascii="Arial" w:eastAsia="Times New Roman" w:hAnsi="Arial" w:cs="Arial"/>
          <w:lang w:val="de-DE" w:eastAsia="en-US"/>
        </w:rPr>
        <w:t>Marktanpassung, Innovationsfähigkeit und Kundennutzen als besondere Stärken herausgestellt</w:t>
      </w:r>
    </w:p>
    <w:p w14:paraId="38FF0846" w14:textId="462B32C1" w:rsidR="00845677" w:rsidRPr="005A15CB" w:rsidRDefault="00845677" w:rsidP="00634EE4">
      <w:pPr>
        <w:pStyle w:val="Listenabsatz"/>
        <w:spacing w:after="0" w:line="240" w:lineRule="auto"/>
        <w:ind w:right="3456"/>
        <w:contextualSpacing w:val="0"/>
        <w:rPr>
          <w:rFonts w:ascii="Arial" w:hAnsi="Arial" w:cs="Arial"/>
          <w:lang w:val="de-AT"/>
        </w:rPr>
      </w:pPr>
    </w:p>
    <w:p w14:paraId="0246E53E" w14:textId="77777777" w:rsidR="00634EE4" w:rsidRPr="005A15CB" w:rsidRDefault="00634EE4" w:rsidP="005E1D39">
      <w:pPr>
        <w:pStyle w:val="Listenabsatz"/>
        <w:spacing w:after="0" w:line="240" w:lineRule="auto"/>
        <w:ind w:right="3456"/>
        <w:contextualSpacing w:val="0"/>
        <w:rPr>
          <w:rFonts w:ascii="Arial" w:hAnsi="Arial" w:cs="Arial"/>
          <w:lang w:val="de-AT"/>
        </w:rPr>
      </w:pPr>
    </w:p>
    <w:p w14:paraId="1659A4B4" w14:textId="216DF299" w:rsidR="007716CF" w:rsidRPr="004D12A0" w:rsidRDefault="004A1C37" w:rsidP="007716CF">
      <w:pPr>
        <w:rPr>
          <w:rFonts w:ascii="Arial" w:hAnsi="Arial" w:cs="Arial"/>
          <w:i/>
          <w:sz w:val="20"/>
          <w:szCs w:val="20"/>
          <w:lang w:val="de-DE" w:eastAsia="en-US"/>
        </w:rPr>
      </w:pPr>
      <w:r w:rsidRPr="004D12A0">
        <w:rPr>
          <w:rFonts w:ascii="Arial" w:hAnsi="Arial" w:cs="Arial"/>
          <w:b/>
          <w:i/>
          <w:sz w:val="20"/>
          <w:szCs w:val="20"/>
          <w:lang w:val="de-AT"/>
        </w:rPr>
        <w:t>München | T</w:t>
      </w:r>
      <w:r w:rsidR="00B17FBA" w:rsidRPr="004D12A0">
        <w:rPr>
          <w:rFonts w:ascii="Arial" w:hAnsi="Arial" w:cs="Arial"/>
          <w:b/>
          <w:i/>
          <w:sz w:val="20"/>
          <w:szCs w:val="20"/>
          <w:lang w:val="de-AT"/>
        </w:rPr>
        <w:t>oki</w:t>
      </w:r>
      <w:r w:rsidRPr="004D12A0">
        <w:rPr>
          <w:rFonts w:ascii="Arial" w:hAnsi="Arial" w:cs="Arial"/>
          <w:b/>
          <w:i/>
          <w:sz w:val="20"/>
          <w:szCs w:val="20"/>
          <w:lang w:val="de-AT"/>
        </w:rPr>
        <w:t xml:space="preserve">o </w:t>
      </w:r>
      <w:r w:rsidR="00845677" w:rsidRPr="004D12A0">
        <w:rPr>
          <w:rFonts w:ascii="Arial" w:hAnsi="Arial" w:cs="Arial"/>
          <w:b/>
          <w:i/>
          <w:sz w:val="20"/>
          <w:szCs w:val="20"/>
          <w:lang w:val="de-AT"/>
        </w:rPr>
        <w:t xml:space="preserve">– </w:t>
      </w:r>
      <w:r w:rsidR="007716CF" w:rsidRPr="004D12A0">
        <w:rPr>
          <w:rFonts w:ascii="Arial" w:hAnsi="Arial" w:cs="Arial"/>
          <w:b/>
          <w:i/>
          <w:sz w:val="20"/>
          <w:szCs w:val="20"/>
          <w:lang w:val="de-AT"/>
        </w:rPr>
        <w:t>22.</w:t>
      </w:r>
      <w:r w:rsidR="001C050A" w:rsidRPr="004D12A0">
        <w:rPr>
          <w:rFonts w:ascii="Arial" w:hAnsi="Arial" w:cs="Arial"/>
          <w:b/>
          <w:i/>
          <w:sz w:val="20"/>
          <w:szCs w:val="20"/>
          <w:lang w:val="de-AT"/>
        </w:rPr>
        <w:t xml:space="preserve"> </w:t>
      </w:r>
      <w:r w:rsidR="007716CF" w:rsidRPr="004D12A0">
        <w:rPr>
          <w:rFonts w:ascii="Arial" w:hAnsi="Arial" w:cs="Arial"/>
          <w:b/>
          <w:i/>
          <w:sz w:val="20"/>
          <w:szCs w:val="20"/>
          <w:lang w:val="de-AT"/>
        </w:rPr>
        <w:t>Juni 2021</w:t>
      </w:r>
      <w:r w:rsidR="00845677" w:rsidRPr="004D12A0">
        <w:rPr>
          <w:rFonts w:ascii="Arial" w:hAnsi="Arial" w:cs="Arial"/>
          <w:i/>
          <w:sz w:val="20"/>
          <w:szCs w:val="20"/>
          <w:lang w:val="de-AT"/>
        </w:rPr>
        <w:t xml:space="preserve"> – </w:t>
      </w:r>
      <w:hyperlink r:id="rId7" w:history="1">
        <w:r w:rsidR="00845677" w:rsidRPr="004D12A0">
          <w:rPr>
            <w:rStyle w:val="Hyperlink"/>
            <w:rFonts w:ascii="Arial" w:hAnsi="Arial" w:cs="Arial"/>
            <w:i/>
            <w:sz w:val="20"/>
            <w:szCs w:val="20"/>
            <w:lang w:val="de-AT"/>
          </w:rPr>
          <w:t>NTT DATA</w:t>
        </w:r>
      </w:hyperlink>
      <w:r w:rsidR="00845677" w:rsidRPr="004D12A0">
        <w:rPr>
          <w:rFonts w:ascii="Arial" w:hAnsi="Arial" w:cs="Arial"/>
          <w:i/>
          <w:sz w:val="20"/>
          <w:szCs w:val="20"/>
          <w:lang w:val="de-AT"/>
        </w:rPr>
        <w:t xml:space="preserve">, </w:t>
      </w:r>
      <w:r w:rsidRPr="004D12A0">
        <w:rPr>
          <w:rFonts w:ascii="Arial" w:hAnsi="Arial" w:cs="Arial"/>
          <w:i/>
          <w:sz w:val="20"/>
          <w:szCs w:val="20"/>
          <w:lang w:val="de-AT"/>
        </w:rPr>
        <w:t xml:space="preserve">ein globaler Marktführer für digitale Geschäfts- und IT-Dienstleistungen, </w:t>
      </w:r>
      <w:r w:rsidR="007716CF" w:rsidRPr="004D12A0">
        <w:rPr>
          <w:rFonts w:ascii="Arial" w:hAnsi="Arial" w:cs="Arial"/>
          <w:i/>
          <w:sz w:val="20"/>
          <w:szCs w:val="20"/>
          <w:lang w:val="de-DE" w:eastAsia="en-US"/>
        </w:rPr>
        <w:t>gab heute bekannt, dass er im „</w:t>
      </w:r>
      <w:hyperlink r:id="rId8" w:history="1">
        <w:r w:rsidR="007716CF" w:rsidRPr="004D12A0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  <w:lang w:val="de-DE" w:eastAsia="en-US"/>
          </w:rPr>
          <w:t>S/4HANA Servi</w:t>
        </w:r>
        <w:bookmarkStart w:id="0" w:name="_GoBack"/>
        <w:bookmarkEnd w:id="0"/>
        <w:r w:rsidR="007716CF" w:rsidRPr="004D12A0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  <w:lang w:val="de-DE" w:eastAsia="en-US"/>
          </w:rPr>
          <w:t>c</w:t>
        </w:r>
        <w:r w:rsidR="007716CF" w:rsidRPr="004D12A0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  <w:lang w:val="de-DE" w:eastAsia="en-US"/>
          </w:rPr>
          <w:t>es PEAK Matrix® Assessment 2021</w:t>
        </w:r>
      </w:hyperlink>
      <w:r w:rsidR="007716CF" w:rsidRPr="004D12A0">
        <w:rPr>
          <w:rFonts w:ascii="Arial" w:hAnsi="Arial" w:cs="Arial"/>
          <w:i/>
          <w:sz w:val="20"/>
          <w:szCs w:val="20"/>
          <w:lang w:val="de-DE" w:eastAsia="en-US"/>
        </w:rPr>
        <w:t>“-Bericht der Everest Group als Leader ausgezeichnet wurde. Für den Bericht wurden 21 IT-Dienstleister dahingehend bewertet, inwieweit sie in der Lage sind, im Zuge der Einführung der ERP-Plattform SAP S/4HANA wirkungsvolle Lösungen für kleine, mittlere und große Unternehmen zu erarbeiten.</w:t>
      </w:r>
    </w:p>
    <w:p w14:paraId="5ACADC11" w14:textId="77777777" w:rsidR="007716CF" w:rsidRPr="004D12A0" w:rsidRDefault="007716CF" w:rsidP="007716CF">
      <w:pPr>
        <w:rPr>
          <w:rFonts w:ascii="Arial" w:eastAsia="Times New Roman" w:hAnsi="Arial" w:cs="Arial"/>
          <w:i/>
          <w:sz w:val="20"/>
          <w:szCs w:val="20"/>
          <w:lang w:val="de-DE" w:eastAsia="en-US"/>
        </w:rPr>
      </w:pPr>
    </w:p>
    <w:p w14:paraId="08105972" w14:textId="24A5F57F" w:rsidR="007716CF" w:rsidRPr="007716CF" w:rsidRDefault="007716CF" w:rsidP="007716CF">
      <w:pPr>
        <w:rPr>
          <w:rFonts w:ascii="Arial" w:hAnsi="Arial" w:cs="Arial"/>
          <w:sz w:val="20"/>
          <w:szCs w:val="20"/>
          <w:lang w:val="de-DE" w:eastAsia="en-US"/>
        </w:rPr>
      </w:pPr>
      <w:r w:rsidRPr="004D12A0">
        <w:rPr>
          <w:rFonts w:ascii="Arial" w:hAnsi="Arial" w:cs="Arial"/>
          <w:i/>
          <w:color w:val="000000"/>
          <w:sz w:val="20"/>
          <w:szCs w:val="20"/>
          <w:lang w:val="de-DE" w:eastAsia="en-US"/>
        </w:rPr>
        <w:t xml:space="preserve">Im Bericht der Everest Group wird NTT DATA als Leader, der höchsten von insgesamt drei Kategorien, eingestuft. Dem Leistungsportfolio von NTT DATA wurden </w:t>
      </w:r>
      <w:r w:rsidRPr="004D12A0">
        <w:rPr>
          <w:rFonts w:ascii="Arial" w:hAnsi="Arial" w:cs="Arial"/>
          <w:i/>
          <w:sz w:val="20"/>
          <w:szCs w:val="20"/>
          <w:lang w:val="de-DE" w:eastAsia="en-US"/>
        </w:rPr>
        <w:t>fortschrittliche Kapazitäten in puncto Marktanpassung, Kundennutzen, Vision &amp; Strategie sowie Innovation &amp; Investments attestiert</w:t>
      </w:r>
      <w:r w:rsidRPr="007716CF">
        <w:rPr>
          <w:rFonts w:ascii="Arial" w:hAnsi="Arial" w:cs="Arial"/>
          <w:sz w:val="20"/>
          <w:szCs w:val="20"/>
          <w:lang w:val="de-DE" w:eastAsia="en-US"/>
        </w:rPr>
        <w:t>.</w:t>
      </w:r>
    </w:p>
    <w:p w14:paraId="76442BE6" w14:textId="77777777" w:rsidR="007716CF" w:rsidRPr="007716CF" w:rsidRDefault="007716CF" w:rsidP="007716CF">
      <w:pPr>
        <w:rPr>
          <w:rFonts w:ascii="Arial" w:hAnsi="Arial" w:cs="Arial"/>
          <w:sz w:val="20"/>
          <w:szCs w:val="20"/>
          <w:lang w:val="de-DE" w:eastAsia="en-US"/>
        </w:rPr>
      </w:pPr>
    </w:p>
    <w:p w14:paraId="30550D51" w14:textId="27410F87" w:rsidR="007716CF" w:rsidRPr="007716CF" w:rsidRDefault="007716CF" w:rsidP="007716CF">
      <w:pPr>
        <w:rPr>
          <w:rFonts w:ascii="Arial" w:hAnsi="Arial" w:cs="Arial"/>
          <w:sz w:val="20"/>
          <w:szCs w:val="20"/>
          <w:lang w:val="de-DE" w:eastAsia="en-US"/>
        </w:rPr>
      </w:pPr>
      <w:r w:rsidRPr="007716CF">
        <w:rPr>
          <w:rFonts w:ascii="Arial" w:hAnsi="Arial" w:cs="Arial"/>
          <w:sz w:val="20"/>
          <w:szCs w:val="20"/>
          <w:lang w:val="de-DE" w:eastAsia="en-US"/>
        </w:rPr>
        <w:t>„Unternehmen, die SAP</w:t>
      </w:r>
      <w:r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7716CF">
        <w:rPr>
          <w:rFonts w:ascii="Arial" w:hAnsi="Arial" w:cs="Arial"/>
          <w:sz w:val="20"/>
          <w:szCs w:val="20"/>
          <w:lang w:val="de-DE" w:eastAsia="en-US"/>
        </w:rPr>
        <w:t>S/4HANA einsetzen, entwickeln kreativere Prozessansätze, die über gängige Lift-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and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>-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Shift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>-Lösungen hinausgehen. Sie suchen nach kompetenter Unterstützung, um die Anwendungslandschaft ihres Unternehmens optimal auszurichten“, erklärt Norbert Rotter, Co-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head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of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 SAP Global Market Focus Team bei NTT DATA. „Von der Everest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Group in der Kategorie S/4HANA </w:t>
      </w:r>
      <w:r w:rsidRPr="007716CF">
        <w:rPr>
          <w:rFonts w:ascii="Arial" w:hAnsi="Arial" w:cs="Arial"/>
          <w:sz w:val="20"/>
          <w:szCs w:val="20"/>
          <w:lang w:val="de-DE" w:eastAsia="en-US"/>
        </w:rPr>
        <w:t>Services zum Leader ernannt zu werden, belegt auf</w:t>
      </w:r>
      <w:r>
        <w:rPr>
          <w:rFonts w:ascii="Arial" w:hAnsi="Arial" w:cs="Arial"/>
          <w:sz w:val="20"/>
          <w:szCs w:val="20"/>
          <w:lang w:val="de-DE" w:eastAsia="en-US"/>
        </w:rPr>
        <w:t xml:space="preserve"> eindrucksvolle Weise, dass NTT </w:t>
      </w:r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DATA das liefert, was sich Kunden wünschen. Wir verfügen über überlegene Kompetenzen, um Beratungen zur Plattformstrategie und -anwendung vorzunehmen, komplexe 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Greenfield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- und 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Brownfield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-Projekte zu implementieren und Wartungs- </w:t>
      </w:r>
      <w:r>
        <w:rPr>
          <w:rFonts w:ascii="Arial" w:hAnsi="Arial" w:cs="Arial"/>
          <w:sz w:val="20"/>
          <w:szCs w:val="20"/>
          <w:lang w:val="de-DE" w:eastAsia="en-US"/>
        </w:rPr>
        <w:t>sowie</w:t>
      </w:r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 Supportdienstleistungen für S/4HANA-Projekte zu erbringen – vor Ort und in der Cloud.“</w:t>
      </w:r>
    </w:p>
    <w:p w14:paraId="49ECB285" w14:textId="77777777" w:rsidR="007716CF" w:rsidRPr="007716CF" w:rsidRDefault="007716CF" w:rsidP="007716CF">
      <w:pPr>
        <w:rPr>
          <w:rFonts w:ascii="Arial" w:hAnsi="Arial" w:cs="Arial"/>
          <w:sz w:val="20"/>
          <w:szCs w:val="20"/>
          <w:lang w:val="de-DE" w:eastAsia="en-US"/>
        </w:rPr>
      </w:pPr>
    </w:p>
    <w:p w14:paraId="188966D8" w14:textId="33696100" w:rsidR="007716CF" w:rsidRDefault="007716CF" w:rsidP="007716CF">
      <w:pPr>
        <w:rPr>
          <w:rFonts w:ascii="Arial" w:hAnsi="Arial" w:cs="Arial"/>
          <w:sz w:val="20"/>
          <w:szCs w:val="20"/>
          <w:lang w:val="de-DE" w:eastAsia="en-US"/>
        </w:rPr>
      </w:pPr>
      <w:r w:rsidRPr="007716CF">
        <w:rPr>
          <w:rFonts w:ascii="Arial" w:hAnsi="Arial" w:cs="Arial"/>
          <w:sz w:val="20"/>
          <w:szCs w:val="20"/>
          <w:lang w:val="de-DE" w:eastAsia="en-US"/>
        </w:rPr>
        <w:t>Um im „Peak MATRIX</w:t>
      </w:r>
      <w:r w:rsidRPr="007716CF">
        <w:rPr>
          <w:rFonts w:ascii="Arial" w:hAnsi="Arial" w:cs="Arial"/>
          <w:sz w:val="20"/>
          <w:szCs w:val="20"/>
          <w:vertAlign w:val="superscript"/>
          <w:lang w:val="de-DE" w:eastAsia="en-US"/>
        </w:rPr>
        <w:t>(R)</w:t>
      </w:r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“-Bericht als Leader eingestuft zu werden, müssen laut der </w:t>
      </w:r>
      <w:r w:rsidRPr="007716CF">
        <w:rPr>
          <w:rFonts w:ascii="Arial" w:hAnsi="Arial" w:cs="Arial"/>
          <w:color w:val="000000"/>
          <w:sz w:val="20"/>
          <w:szCs w:val="20"/>
          <w:lang w:val="de-DE" w:eastAsia="en-US"/>
        </w:rPr>
        <w:t>Everest Group bestimmte Kriterien erfüllt sein. Hierzu gehört die</w:t>
      </w:r>
      <w:r w:rsidRPr="007716CF">
        <w:rPr>
          <w:rFonts w:ascii="Arial" w:hAnsi="Arial" w:cs="Arial"/>
          <w:sz w:val="20"/>
          <w:szCs w:val="20"/>
          <w:lang w:val="de-DE" w:eastAsia="en-US"/>
        </w:rPr>
        <w:t xml:space="preserve"> Fähigkeit eines Unternehmens, unter Nutzung seines starken globalen Netzwerks und seiner überzeugenden </w:t>
      </w:r>
      <w:proofErr w:type="spellStart"/>
      <w:r w:rsidRPr="007716CF">
        <w:rPr>
          <w:rFonts w:ascii="Arial" w:hAnsi="Arial" w:cs="Arial"/>
          <w:sz w:val="20"/>
          <w:szCs w:val="20"/>
          <w:lang w:val="de-DE" w:eastAsia="en-US"/>
        </w:rPr>
        <w:t>Onshore</w:t>
      </w:r>
      <w:proofErr w:type="spellEnd"/>
      <w:r w:rsidRPr="007716CF">
        <w:rPr>
          <w:rFonts w:ascii="Arial" w:hAnsi="Arial" w:cs="Arial"/>
          <w:sz w:val="20"/>
          <w:szCs w:val="20"/>
          <w:lang w:val="de-DE" w:eastAsia="en-US"/>
        </w:rPr>
        <w:t>-Präsenz weltweit ganzheitliche S/4HANA-Services zu erbringen. Der Bericht ging zudem darauf ein, welche bisherigen Erfolge die als Leader eingestuften Unternehmen beim Aufbau und der Verpflichtung von Talenten auf dem S/4HANA-Services-Markt verbuchen konnten, und hob die ausgereiften Software-Pakete aus SAP-zertifizierten, vertikalen S/4HANA-OTS-Lösungen und die ausgewogene Palette vertikalspezifischer Lösungen hervor.</w:t>
      </w:r>
    </w:p>
    <w:p w14:paraId="6CBB1B42" w14:textId="77777777" w:rsidR="007716CF" w:rsidRPr="007716CF" w:rsidRDefault="007716CF" w:rsidP="007716CF">
      <w:pPr>
        <w:rPr>
          <w:rFonts w:ascii="Arial" w:eastAsia="Times New Roman" w:hAnsi="Arial" w:cs="Arial"/>
          <w:sz w:val="20"/>
          <w:szCs w:val="20"/>
          <w:lang w:val="de-DE" w:eastAsia="en-US"/>
        </w:rPr>
      </w:pPr>
    </w:p>
    <w:p w14:paraId="6A3B2DBB" w14:textId="65C8C91E" w:rsidR="007716CF" w:rsidRPr="007716CF" w:rsidRDefault="001E3B2E" w:rsidP="007716CF">
      <w:pPr>
        <w:rPr>
          <w:rFonts w:ascii="Arial" w:hAnsi="Arial" w:cs="Arial"/>
          <w:sz w:val="20"/>
          <w:szCs w:val="20"/>
          <w:lang w:val="de-DE" w:eastAsia="en-US"/>
        </w:rPr>
      </w:pPr>
      <w:bookmarkStart w:id="1" w:name="_Hlk73112476"/>
      <w:r>
        <w:rPr>
          <w:rFonts w:ascii="Arial" w:hAnsi="Arial" w:cs="Arial"/>
          <w:sz w:val="20"/>
          <w:szCs w:val="20"/>
          <w:lang w:val="de-DE" w:eastAsia="en-US"/>
        </w:rPr>
        <w:t xml:space="preserve">NTT </w:t>
      </w:r>
      <w:r w:rsidR="007716CF" w:rsidRPr="007716CF">
        <w:rPr>
          <w:rFonts w:ascii="Arial" w:hAnsi="Arial" w:cs="Arial"/>
          <w:sz w:val="20"/>
          <w:szCs w:val="20"/>
          <w:lang w:val="de-DE" w:eastAsia="en-US"/>
        </w:rPr>
        <w:t>DATA wurde insbesondere dafür gelobt, seine Leistungen an bestimmte Zielregionen, insbesondere Europa, die Asien-Pazifik-Region und Lateinamerika, anpassen zu können. Der Bericht würdigte zudem die Flexibilität, Branchenerfahrung und Kundenbetreuung von NTT</w:t>
      </w:r>
      <w:r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7716CF" w:rsidRPr="007716CF">
        <w:rPr>
          <w:rFonts w:ascii="Arial" w:hAnsi="Arial" w:cs="Arial"/>
          <w:sz w:val="20"/>
          <w:szCs w:val="20"/>
          <w:lang w:val="de-DE" w:eastAsia="en-US"/>
        </w:rPr>
        <w:t>DATA sowie die Bemühungen, sein S/4HANA-Personal über die eigene S/4HANA-Akademie weiterzubilden. Das Unternehmen hebe sich laut dem Bericht dadurch von seinen Wettbewerbern ab, dass es seinen S/4HANA-Cloudressourcen-Pool skaliert und beträchtliche Investitionen in den Aufbau vertikaler Lösungen und Frameworks für S/4HANA getätigt hat.</w:t>
      </w:r>
    </w:p>
    <w:bookmarkEnd w:id="1"/>
    <w:p w14:paraId="3416134E" w14:textId="77777777" w:rsidR="001E3B2E" w:rsidRDefault="001E3B2E" w:rsidP="007716CF">
      <w:pPr>
        <w:rPr>
          <w:rFonts w:ascii="Arial" w:eastAsia="Times New Roman" w:hAnsi="Arial" w:cs="Arial"/>
          <w:sz w:val="20"/>
          <w:szCs w:val="20"/>
          <w:lang w:val="de-DE" w:eastAsia="en-US"/>
        </w:rPr>
      </w:pPr>
    </w:p>
    <w:p w14:paraId="7B5640C9" w14:textId="43A076FD" w:rsidR="007716CF" w:rsidRPr="007716CF" w:rsidRDefault="007716CF" w:rsidP="007716CF">
      <w:pPr>
        <w:rPr>
          <w:rFonts w:ascii="Arial" w:eastAsia="Times New Roman" w:hAnsi="Arial" w:cs="Arial"/>
          <w:sz w:val="20"/>
          <w:szCs w:val="20"/>
          <w:lang w:val="de-DE" w:eastAsia="en-US"/>
        </w:rPr>
      </w:pPr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 xml:space="preserve">„Die SAP-S/4HANA-ERP-Plattform ist ein Bestandteil des Digitalisierungskonzepts für Unternehmen und ermöglicht diesen, eine gut abgestimmte Anwendungslandschaft aufzubauen. SAP besitzt den Löwenanteil am ERP-Markt und seine S/4HANA-Plattform konnte – auch dank der Plattformfunktionen und des starken Partnerumfelds – ein beträchtliches </w:t>
      </w:r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lastRenderedPageBreak/>
        <w:t xml:space="preserve">Wachstum erzielen“, erklärt </w:t>
      </w:r>
      <w:proofErr w:type="spellStart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Yugal</w:t>
      </w:r>
      <w:proofErr w:type="spellEnd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 xml:space="preserve"> Joshi, </w:t>
      </w:r>
      <w:proofErr w:type="spellStart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Vice</w:t>
      </w:r>
      <w:proofErr w:type="spellEnd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Pr</w:t>
      </w:r>
      <w:r w:rsidR="001E3B2E">
        <w:rPr>
          <w:rFonts w:ascii="Arial" w:eastAsia="Times New Roman" w:hAnsi="Arial" w:cs="Arial"/>
          <w:sz w:val="20"/>
          <w:szCs w:val="20"/>
          <w:lang w:val="de-DE" w:eastAsia="en-US"/>
        </w:rPr>
        <w:t>esident</w:t>
      </w:r>
      <w:proofErr w:type="spellEnd"/>
      <w:r w:rsidR="001E3B2E">
        <w:rPr>
          <w:rFonts w:ascii="Arial" w:eastAsia="Times New Roman" w:hAnsi="Arial" w:cs="Arial"/>
          <w:sz w:val="20"/>
          <w:szCs w:val="20"/>
          <w:lang w:val="de-DE" w:eastAsia="en-US"/>
        </w:rPr>
        <w:t xml:space="preserve"> der Everest Group. „NTT </w:t>
      </w:r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 xml:space="preserve">DATA hat in den Aufbau einer robusten Suite aus vertikalen Lösungen/Frameworks für S/4HANA-Services investiert, um branchenspezifische Lösungen erbringen zu können. Mit der Übernahme von ISS Consulting </w:t>
      </w:r>
      <w:proofErr w:type="spellStart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and</w:t>
      </w:r>
      <w:proofErr w:type="spellEnd"/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 xml:space="preserve"> FH S.A. hat das Unternehmen seine Leistungskapazitäten für den lateinamerikanischen Markt und die ASEAN-Region weiter ausgebaut. Kunden schätzen vor allem die Flexibilität, die Branchenexpertise und das Kun</w:t>
      </w:r>
      <w:r w:rsidR="001E3B2E">
        <w:rPr>
          <w:rFonts w:ascii="Arial" w:eastAsia="Times New Roman" w:hAnsi="Arial" w:cs="Arial"/>
          <w:sz w:val="20"/>
          <w:szCs w:val="20"/>
          <w:lang w:val="de-DE" w:eastAsia="en-US"/>
        </w:rPr>
        <w:t xml:space="preserve">denbeziehungsmanagement von NTT </w:t>
      </w:r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DATA. Zusammen hat a</w:t>
      </w:r>
      <w:r w:rsidR="001E3B2E">
        <w:rPr>
          <w:rFonts w:ascii="Arial" w:eastAsia="Times New Roman" w:hAnsi="Arial" w:cs="Arial"/>
          <w:sz w:val="20"/>
          <w:szCs w:val="20"/>
          <w:lang w:val="de-DE" w:eastAsia="en-US"/>
        </w:rPr>
        <w:t xml:space="preserve">ll dies dafür gesorgt, dass NTT </w:t>
      </w:r>
      <w:r w:rsidRPr="007716CF">
        <w:rPr>
          <w:rFonts w:ascii="Arial" w:eastAsia="Times New Roman" w:hAnsi="Arial" w:cs="Arial"/>
          <w:sz w:val="20"/>
          <w:szCs w:val="20"/>
          <w:lang w:val="de-DE" w:eastAsia="en-US"/>
        </w:rPr>
        <w:t>DATA im ‚S/4HANA Services PEAK Matrix® Assessment 2021‘-Bericht der Everest Group als Leader ausgezeichnet wurde."</w:t>
      </w:r>
    </w:p>
    <w:p w14:paraId="370067C4" w14:textId="77777777" w:rsidR="007716CF" w:rsidRPr="007716CF" w:rsidRDefault="007716CF" w:rsidP="007716CF">
      <w:pPr>
        <w:rPr>
          <w:rFonts w:ascii="Calibri" w:hAnsi="Calibri" w:cs="Calibri"/>
          <w:sz w:val="20"/>
          <w:szCs w:val="20"/>
          <w:shd w:val="clear" w:color="auto" w:fill="FFFFFF"/>
          <w:lang w:val="de-DE" w:eastAsia="en-US"/>
        </w:rPr>
      </w:pPr>
    </w:p>
    <w:p w14:paraId="3FE33E51" w14:textId="7D96CF53" w:rsidR="004A1C37" w:rsidRPr="007716CF" w:rsidRDefault="007716CF" w:rsidP="0013391B">
      <w:pPr>
        <w:rPr>
          <w:rFonts w:ascii="Arial" w:hAnsi="Arial" w:cs="Arial"/>
          <w:sz w:val="20"/>
          <w:szCs w:val="20"/>
          <w:lang w:val="de-DE" w:eastAsia="en-US"/>
        </w:rPr>
      </w:pPr>
      <w:r w:rsidRPr="007716CF">
        <w:rPr>
          <w:rFonts w:ascii="Arial" w:hAnsi="Arial" w:cs="Arial"/>
          <w:sz w:val="20"/>
          <w:szCs w:val="20"/>
          <w:shd w:val="clear" w:color="auto" w:fill="FFFFFF"/>
          <w:lang w:val="de-DE" w:eastAsia="en-US"/>
        </w:rPr>
        <w:t>Der „PEAK Matrix®“-Bericht basiert auf dem Request-</w:t>
      </w:r>
      <w:proofErr w:type="spellStart"/>
      <w:r w:rsidRPr="007716CF">
        <w:rPr>
          <w:rFonts w:ascii="Arial" w:hAnsi="Arial" w:cs="Arial"/>
          <w:sz w:val="20"/>
          <w:szCs w:val="20"/>
          <w:shd w:val="clear" w:color="auto" w:fill="FFFFFF"/>
          <w:lang w:val="de-DE" w:eastAsia="en-US"/>
        </w:rPr>
        <w:t>for</w:t>
      </w:r>
      <w:proofErr w:type="spellEnd"/>
      <w:r w:rsidRPr="007716CF">
        <w:rPr>
          <w:rFonts w:ascii="Arial" w:hAnsi="Arial" w:cs="Arial"/>
          <w:sz w:val="20"/>
          <w:szCs w:val="20"/>
          <w:shd w:val="clear" w:color="auto" w:fill="FFFFFF"/>
          <w:lang w:val="de-DE" w:eastAsia="en-US"/>
        </w:rPr>
        <w:t xml:space="preserve">-Information-Prozess (RFI) der Everest Group für das Kalenderjahr 2020, in den auch Interaktionen </w:t>
      </w:r>
      <w:proofErr w:type="gramStart"/>
      <w:r w:rsidRPr="007716CF">
        <w:rPr>
          <w:rFonts w:ascii="Arial" w:hAnsi="Arial" w:cs="Arial"/>
          <w:sz w:val="20"/>
          <w:szCs w:val="20"/>
          <w:shd w:val="clear" w:color="auto" w:fill="FFFFFF"/>
          <w:lang w:val="de-DE" w:eastAsia="en-US"/>
        </w:rPr>
        <w:t>mit führenden</w:t>
      </w:r>
      <w:proofErr w:type="gramEnd"/>
      <w:r w:rsidRPr="007716CF">
        <w:rPr>
          <w:rFonts w:ascii="Arial" w:hAnsi="Arial" w:cs="Arial"/>
          <w:sz w:val="20"/>
          <w:szCs w:val="20"/>
          <w:shd w:val="clear" w:color="auto" w:fill="FFFFFF"/>
          <w:lang w:val="de-DE" w:eastAsia="en-US"/>
        </w:rPr>
        <w:t xml:space="preserve"> Digital-Services-Anbietern, Kundenreferenzabfragen und eingehende Analysen des Digital-Services-Markts eingeflossen sind.</w:t>
      </w:r>
    </w:p>
    <w:p w14:paraId="5027555B" w14:textId="77777777" w:rsidR="00210FFD" w:rsidRPr="00634EE4" w:rsidRDefault="00210FFD" w:rsidP="0013391B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5AFABC18" w14:textId="7E01A199" w:rsidR="00D35710" w:rsidRDefault="00D35710" w:rsidP="0013391B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1FA154AF" w14:textId="77777777" w:rsidR="001E3B2E" w:rsidRPr="007716CF" w:rsidRDefault="001E3B2E" w:rsidP="0013391B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4A872E10" w14:textId="368E3C92" w:rsidR="00845677" w:rsidRDefault="00634EE4" w:rsidP="0013391B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634EE4" w:rsidRDefault="00634EE4" w:rsidP="0013391B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BF6D6B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9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01FC064D" w14:textId="78CADA84" w:rsidR="00D35710" w:rsidRPr="0013391B" w:rsidRDefault="00D35710" w:rsidP="0013391B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02CECD1B" w14:textId="5BA51A6C" w:rsidR="00634EE4" w:rsidRPr="00634EE4" w:rsidRDefault="00634EE4" w:rsidP="00634EE4">
      <w:pPr>
        <w:pStyle w:val="StandardWeb"/>
        <w:spacing w:before="0" w:beforeAutospacing="0" w:after="0" w:afterAutospacing="0"/>
        <w:ind w:right="-1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Deutschland unter </w:t>
      </w:r>
      <w:hyperlink r:id="rId10" w:history="1">
        <w:r w:rsidRPr="00634EE4">
          <w:rPr>
            <w:rStyle w:val="Hyperlink"/>
            <w:rFonts w:ascii="Arial" w:eastAsiaTheme="minorHAnsi" w:hAnsi="Arial" w:cs="Arial"/>
            <w:sz w:val="20"/>
            <w:szCs w:val="20"/>
            <w:lang w:val="de-DE" w:eastAsia="en-US"/>
          </w:rPr>
          <w:t>de.nttdata.com</w:t>
        </w:r>
      </w:hyperlink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br/>
        <w:t xml:space="preserve">Österreich unter </w:t>
      </w:r>
      <w:hyperlink r:id="rId11" w:history="1">
        <w:r w:rsidRPr="00634EE4">
          <w:rPr>
            <w:rStyle w:val="Hyperlink"/>
            <w:rFonts w:ascii="Arial" w:eastAsiaTheme="minorHAnsi" w:hAnsi="Arial" w:cs="Arial"/>
            <w:sz w:val="20"/>
            <w:szCs w:val="20"/>
            <w:lang w:val="de-DE" w:eastAsia="en-US"/>
          </w:rPr>
          <w:t>at.nttdata.com</w:t>
        </w:r>
      </w:hyperlink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br/>
        <w:t xml:space="preserve">Schweiz unter </w:t>
      </w:r>
      <w:hyperlink r:id="rId12" w:history="1">
        <w:r w:rsidRPr="00634EE4">
          <w:rPr>
            <w:rStyle w:val="Hyperlink"/>
            <w:rFonts w:ascii="Arial" w:eastAsiaTheme="minorHAnsi" w:hAnsi="Arial" w:cs="Arial"/>
            <w:sz w:val="20"/>
            <w:szCs w:val="20"/>
            <w:lang w:val="de-DE" w:eastAsia="en-US"/>
          </w:rPr>
          <w:t>ch.nttdata.com</w:t>
        </w:r>
      </w:hyperlink>
    </w:p>
    <w:p w14:paraId="192DF01E" w14:textId="1261739C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3F9CF0CD" w14:textId="77777777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634EE4" w:rsidRDefault="00634EE4" w:rsidP="00634EE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34EE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D65C5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13391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FB6B76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Tel.: </w:t>
      </w:r>
      <w:r w:rsidRPr="00FB6B76">
        <w:rPr>
          <w:rFonts w:ascii="Arial" w:eastAsiaTheme="minorHAnsi" w:hAnsi="Arial" w:cs="Arial"/>
          <w:sz w:val="20"/>
          <w:szCs w:val="20"/>
          <w:lang w:val="de-DE" w:eastAsia="en-US"/>
        </w:rPr>
        <w:t>+43 664 8847 8903</w:t>
      </w:r>
    </w:p>
    <w:p w14:paraId="13DB1463" w14:textId="10FABD8C" w:rsidR="00FB6B76" w:rsidRDefault="00634EE4" w:rsidP="00634EE4">
      <w:pPr>
        <w:rPr>
          <w:rFonts w:ascii="Arial" w:hAnsi="Arial" w:cs="Arial"/>
          <w:sz w:val="20"/>
          <w:szCs w:val="20"/>
          <w:lang w:val="de-DE"/>
        </w:rPr>
      </w:pPr>
      <w:r w:rsidRPr="00634EE4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3" w:history="1">
        <w:r w:rsidRPr="000A0216">
          <w:rPr>
            <w:rStyle w:val="Hyperlink"/>
            <w:rFonts w:ascii="Arial" w:hAnsi="Arial" w:cs="Arial"/>
            <w:sz w:val="20"/>
            <w:szCs w:val="20"/>
            <w:lang w:val="de-DE"/>
          </w:rPr>
          <w:t>cornelia.spitzer@nttdata.com</w:t>
        </w:r>
      </w:hyperlink>
    </w:p>
    <w:p w14:paraId="7E4650E3" w14:textId="6A9A1B09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350C0ACD" w14:textId="2A072ED8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709CDC2C" w14:textId="24ADEEE3" w:rsidR="00D65C5B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Senior Consultant</w:t>
      </w:r>
    </w:p>
    <w:p w14:paraId="53AFBCC2" w14:textId="5CEF3172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Tel.: +49 7071 93872 </w:t>
      </w: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217</w:t>
      </w:r>
    </w:p>
    <w:p w14:paraId="241679E3" w14:textId="4F3169A5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E-Mail: </w:t>
      </w:r>
      <w:hyperlink r:id="rId14" w:history="1">
        <w:r w:rsidRPr="005E3785">
          <w:rPr>
            <w:rStyle w:val="Hyperlink"/>
            <w:rFonts w:ascii="Arial" w:eastAsiaTheme="minorHAnsi" w:hAnsi="Arial" w:cs="Arial"/>
            <w:sz w:val="20"/>
            <w:szCs w:val="20"/>
            <w:lang w:val="de-AT" w:eastAsia="en-US"/>
          </w:rPr>
          <w:t>g.oelschlaeger@storymaker.de</w:t>
        </w:r>
      </w:hyperlink>
    </w:p>
    <w:sectPr w:rsidR="005E3785" w:rsidRPr="005E3785" w:rsidSect="005E3785">
      <w:headerReference w:type="default" r:id="rId15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DFDB" w14:textId="77777777" w:rsidR="005772C3" w:rsidRDefault="005772C3" w:rsidP="00845677">
      <w:r>
        <w:separator/>
      </w:r>
    </w:p>
  </w:endnote>
  <w:endnote w:type="continuationSeparator" w:id="0">
    <w:p w14:paraId="57A2582D" w14:textId="77777777" w:rsidR="005772C3" w:rsidRDefault="005772C3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3B7E" w14:textId="77777777" w:rsidR="005772C3" w:rsidRDefault="005772C3" w:rsidP="00845677">
      <w:r>
        <w:separator/>
      </w:r>
    </w:p>
  </w:footnote>
  <w:footnote w:type="continuationSeparator" w:id="0">
    <w:p w14:paraId="43B3CE71" w14:textId="77777777" w:rsidR="005772C3" w:rsidRDefault="005772C3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5772C3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2.2pt;margin-top:-59.5pt;width:172.8pt;height:59.5pt;z-index:251661312;mso-position-horizontal-relative:margin;mso-position-vertical-relative:margin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41567579" w:rsidR="00E33A80" w:rsidRPr="00E33A80" w:rsidRDefault="007D292F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41567579" w:rsidR="00E33A80" w:rsidRPr="00E33A80" w:rsidRDefault="007D292F">
                    <w:pPr>
                      <w:rPr>
                        <w:rFonts w:ascii="Arial" w:hAnsi="Arial" w:cs="Arial"/>
                        <w:sz w:val="48"/>
                      </w:rPr>
                    </w:pPr>
                    <w:r>
                      <w:rPr>
                        <w:rFonts w:ascii="Arial" w:hAnsi="Arial" w:cs="Arial"/>
                        <w:sz w:val="48"/>
                      </w:rPr>
                      <w:t>News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2570A"/>
    <w:rsid w:val="00045132"/>
    <w:rsid w:val="00083D1D"/>
    <w:rsid w:val="000F2843"/>
    <w:rsid w:val="0013391B"/>
    <w:rsid w:val="00170CFE"/>
    <w:rsid w:val="00195F33"/>
    <w:rsid w:val="001B6BCC"/>
    <w:rsid w:val="001C050A"/>
    <w:rsid w:val="001E3B2E"/>
    <w:rsid w:val="001F58CB"/>
    <w:rsid w:val="001F7DD6"/>
    <w:rsid w:val="00210FFD"/>
    <w:rsid w:val="00222328"/>
    <w:rsid w:val="00263A49"/>
    <w:rsid w:val="0026780F"/>
    <w:rsid w:val="00275ED7"/>
    <w:rsid w:val="002B617A"/>
    <w:rsid w:val="002C5A8D"/>
    <w:rsid w:val="00304F73"/>
    <w:rsid w:val="00346FF1"/>
    <w:rsid w:val="00367B23"/>
    <w:rsid w:val="00385F71"/>
    <w:rsid w:val="00392DEB"/>
    <w:rsid w:val="003D1278"/>
    <w:rsid w:val="003E0D86"/>
    <w:rsid w:val="003E18F3"/>
    <w:rsid w:val="003E29BB"/>
    <w:rsid w:val="003F0E8F"/>
    <w:rsid w:val="00491448"/>
    <w:rsid w:val="004A1C37"/>
    <w:rsid w:val="004D12A0"/>
    <w:rsid w:val="004F64C0"/>
    <w:rsid w:val="0055763B"/>
    <w:rsid w:val="005772C3"/>
    <w:rsid w:val="00594539"/>
    <w:rsid w:val="0059583D"/>
    <w:rsid w:val="005A15CB"/>
    <w:rsid w:val="005E1394"/>
    <w:rsid w:val="005E1D39"/>
    <w:rsid w:val="005E3652"/>
    <w:rsid w:val="005E3785"/>
    <w:rsid w:val="005E6BFE"/>
    <w:rsid w:val="00621FA1"/>
    <w:rsid w:val="006335AF"/>
    <w:rsid w:val="00633AA7"/>
    <w:rsid w:val="00634EE4"/>
    <w:rsid w:val="00641089"/>
    <w:rsid w:val="00645BD9"/>
    <w:rsid w:val="00687B19"/>
    <w:rsid w:val="006A1735"/>
    <w:rsid w:val="00707AD2"/>
    <w:rsid w:val="00711507"/>
    <w:rsid w:val="00723228"/>
    <w:rsid w:val="007304B4"/>
    <w:rsid w:val="00752923"/>
    <w:rsid w:val="007716CF"/>
    <w:rsid w:val="00781762"/>
    <w:rsid w:val="00793D20"/>
    <w:rsid w:val="007D292F"/>
    <w:rsid w:val="00820376"/>
    <w:rsid w:val="00824297"/>
    <w:rsid w:val="00841700"/>
    <w:rsid w:val="00845677"/>
    <w:rsid w:val="0089392A"/>
    <w:rsid w:val="008B6D74"/>
    <w:rsid w:val="00913100"/>
    <w:rsid w:val="00955976"/>
    <w:rsid w:val="0099190B"/>
    <w:rsid w:val="009E3C0C"/>
    <w:rsid w:val="00A066D4"/>
    <w:rsid w:val="00A23A7B"/>
    <w:rsid w:val="00A36474"/>
    <w:rsid w:val="00A42A24"/>
    <w:rsid w:val="00A53487"/>
    <w:rsid w:val="00AA4E93"/>
    <w:rsid w:val="00AF4863"/>
    <w:rsid w:val="00B02824"/>
    <w:rsid w:val="00B17FBA"/>
    <w:rsid w:val="00B32A38"/>
    <w:rsid w:val="00B60BDD"/>
    <w:rsid w:val="00B63711"/>
    <w:rsid w:val="00B8672F"/>
    <w:rsid w:val="00BB374D"/>
    <w:rsid w:val="00BF6D6B"/>
    <w:rsid w:val="00C20B82"/>
    <w:rsid w:val="00C25E1B"/>
    <w:rsid w:val="00C4035E"/>
    <w:rsid w:val="00C871EE"/>
    <w:rsid w:val="00CD5A3E"/>
    <w:rsid w:val="00D35710"/>
    <w:rsid w:val="00D65C5B"/>
    <w:rsid w:val="00D925F8"/>
    <w:rsid w:val="00DD4BC2"/>
    <w:rsid w:val="00DD7EE6"/>
    <w:rsid w:val="00E0055E"/>
    <w:rsid w:val="00E02B25"/>
    <w:rsid w:val="00E17153"/>
    <w:rsid w:val="00E2177B"/>
    <w:rsid w:val="00E33A80"/>
    <w:rsid w:val="00E92806"/>
    <w:rsid w:val="00E95598"/>
    <w:rsid w:val="00E974B8"/>
    <w:rsid w:val="00ED0FF0"/>
    <w:rsid w:val="00F21AD3"/>
    <w:rsid w:val="00F36854"/>
    <w:rsid w:val="00F6588A"/>
    <w:rsid w:val="00F84075"/>
    <w:rsid w:val="00FB0B6B"/>
    <w:rsid w:val="00FB6B7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00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insights/whitepapers/everest-group-peak-matrix-for-s4hana-service-providers-2021" TargetMode="External"/><Relationship Id="rId13" Type="http://schemas.openxmlformats.org/officeDocument/2006/relationships/hyperlink" Target="mailto:cornelia.spitzer@nttd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nttdata.com/" TargetMode="External"/><Relationship Id="rId12" Type="http://schemas.openxmlformats.org/officeDocument/2006/relationships/hyperlink" Target="file:///C:\Users\SPITZC\AppData\Local\Microsoft\Windows\INetCache\Content.Outlook\XU0Y9KIQ\ch.nttdat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PITZC\AppData\Local\Microsoft\Windows\INetCache\Content.Outlook\XU0Y9KIQ\at.nttdat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SPITZC\AppData\Local\Microsoft\Windows\INetCache\Content.Outlook\XU0Y9KIQ\de.nttd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tdata.com/global/en/" TargetMode="External"/><Relationship Id="rId14" Type="http://schemas.openxmlformats.org/officeDocument/2006/relationships/hyperlink" Target="mailto:g.oelschlaeger@storymak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Michel, Marion</cp:lastModifiedBy>
  <cp:revision>2</cp:revision>
  <cp:lastPrinted>2021-06-21T10:18:00Z</cp:lastPrinted>
  <dcterms:created xsi:type="dcterms:W3CDTF">2021-06-22T08:38:00Z</dcterms:created>
  <dcterms:modified xsi:type="dcterms:W3CDTF">2021-06-22T08:38:00Z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