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DFB5" w14:textId="77777777" w:rsidR="009E676D" w:rsidRDefault="009E676D" w:rsidP="00982F1F">
      <w:pPr>
        <w:jc w:val="center"/>
        <w:rPr>
          <w:rFonts w:ascii="Arial" w:hAnsi="Arial" w:cs="Arial"/>
          <w:b/>
          <w:sz w:val="28"/>
          <w:szCs w:val="28"/>
          <w:lang w:val="de-AT"/>
        </w:rPr>
      </w:pPr>
    </w:p>
    <w:p w14:paraId="403F333F" w14:textId="77777777" w:rsidR="00982F1F" w:rsidRPr="00A06850" w:rsidRDefault="00982F1F" w:rsidP="00982F1F">
      <w:pPr>
        <w:pStyle w:val="StandardWeb"/>
        <w:spacing w:before="0" w:beforeAutospacing="0" w:after="0" w:afterAutospacing="0"/>
        <w:jc w:val="center"/>
        <w:rPr>
          <w:rFonts w:ascii="Arial" w:hAnsi="Arial" w:cs="Arial"/>
          <w:color w:val="0E101A"/>
          <w:sz w:val="28"/>
          <w:szCs w:val="28"/>
          <w:lang w:val="de-DE"/>
        </w:rPr>
      </w:pPr>
      <w:r w:rsidRPr="00A06850">
        <w:rPr>
          <w:rFonts w:ascii="Arial" w:hAnsi="Arial" w:cs="Arial"/>
          <w:b/>
          <w:bCs/>
          <w:sz w:val="28"/>
          <w:szCs w:val="28"/>
          <w:lang w:val="de-DE"/>
        </w:rPr>
        <w:t>NTT DATA ist erneut Hauptpartner der BMW International Open 2022 und bringt die NTT DATA Wall auf den Golfplatz</w:t>
      </w:r>
    </w:p>
    <w:p w14:paraId="539DC237" w14:textId="77777777" w:rsidR="00982F1F" w:rsidRPr="00A06850" w:rsidRDefault="00982F1F" w:rsidP="00982F1F">
      <w:pPr>
        <w:pStyle w:val="StandardWeb"/>
        <w:spacing w:before="0" w:beforeAutospacing="0" w:after="0" w:afterAutospacing="0"/>
        <w:jc w:val="center"/>
        <w:rPr>
          <w:rStyle w:val="Hervorhebung"/>
          <w:rFonts w:ascii="Arial" w:hAnsi="Arial" w:cs="Arial"/>
          <w:color w:val="0E101A"/>
          <w:sz w:val="22"/>
          <w:szCs w:val="22"/>
          <w:lang w:val="de-DE"/>
        </w:rPr>
      </w:pPr>
    </w:p>
    <w:p w14:paraId="66309903" w14:textId="77777777" w:rsidR="00982F1F" w:rsidRPr="00A06850" w:rsidRDefault="00982F1F" w:rsidP="00982F1F">
      <w:pPr>
        <w:pStyle w:val="StandardWeb"/>
        <w:spacing w:before="0" w:beforeAutospacing="0" w:after="0" w:afterAutospacing="0"/>
        <w:jc w:val="center"/>
        <w:rPr>
          <w:rFonts w:ascii="Arial" w:hAnsi="Arial" w:cs="Arial"/>
          <w:color w:val="0E101A"/>
          <w:sz w:val="22"/>
          <w:szCs w:val="22"/>
          <w:lang w:val="de-DE"/>
        </w:rPr>
      </w:pPr>
      <w:r w:rsidRPr="00A06850">
        <w:rPr>
          <w:rStyle w:val="Hervorhebung"/>
          <w:rFonts w:ascii="Arial" w:hAnsi="Arial" w:cs="Arial"/>
          <w:color w:val="0E101A"/>
          <w:sz w:val="22"/>
          <w:szCs w:val="22"/>
          <w:lang w:val="de-DE"/>
        </w:rPr>
        <w:t>Als Hauptpartner des Turniers nutzt NTT DATA dieses Jahr seine NTT DATA Wall für die Zuschauerinformation bei den BMW International Open</w:t>
      </w:r>
    </w:p>
    <w:p w14:paraId="716AEA8B" w14:textId="77777777" w:rsidR="00982F1F" w:rsidRPr="00A06850" w:rsidRDefault="00982F1F" w:rsidP="00982F1F">
      <w:pPr>
        <w:pStyle w:val="StandardWeb"/>
        <w:spacing w:before="0" w:beforeAutospacing="0" w:after="0" w:afterAutospacing="0"/>
        <w:rPr>
          <w:rFonts w:ascii="Arial" w:hAnsi="Arial" w:cs="Arial"/>
          <w:color w:val="0E101A"/>
          <w:sz w:val="21"/>
          <w:szCs w:val="21"/>
          <w:lang w:val="de-DE"/>
        </w:rPr>
      </w:pPr>
    </w:p>
    <w:p w14:paraId="2DB4CA43" w14:textId="60FF7A61" w:rsidR="00982F1F" w:rsidRPr="00A06850" w:rsidRDefault="00982F1F" w:rsidP="00982F1F">
      <w:pPr>
        <w:pStyle w:val="StandardWeb"/>
        <w:spacing w:before="0" w:beforeAutospacing="0" w:after="0" w:afterAutospacing="0"/>
        <w:rPr>
          <w:rFonts w:ascii="Arial" w:hAnsi="Arial" w:cs="Arial"/>
          <w:color w:val="0E101A"/>
          <w:sz w:val="20"/>
          <w:szCs w:val="20"/>
          <w:lang w:val="de-DE"/>
        </w:rPr>
      </w:pPr>
      <w:r w:rsidRPr="000C0BD7">
        <w:rPr>
          <w:rStyle w:val="Fett"/>
          <w:rFonts w:ascii="Arial" w:hAnsi="Arial" w:cs="Arial"/>
          <w:color w:val="0E101A"/>
          <w:sz w:val="20"/>
          <w:szCs w:val="20"/>
          <w:lang w:val="de-AT"/>
        </w:rPr>
        <w:t xml:space="preserve">München, </w:t>
      </w:r>
      <w:r>
        <w:rPr>
          <w:rStyle w:val="Fett"/>
          <w:rFonts w:ascii="Arial" w:hAnsi="Arial" w:cs="Arial"/>
          <w:color w:val="0E101A"/>
          <w:sz w:val="20"/>
          <w:szCs w:val="20"/>
          <w:lang w:val="de-AT"/>
        </w:rPr>
        <w:t xml:space="preserve">07. Juni </w:t>
      </w:r>
      <w:r w:rsidRPr="00A06850">
        <w:rPr>
          <w:rStyle w:val="Fett"/>
          <w:rFonts w:ascii="Arial" w:hAnsi="Arial" w:cs="Arial"/>
          <w:color w:val="0E101A"/>
          <w:sz w:val="20"/>
          <w:szCs w:val="20"/>
          <w:lang w:val="de-DE"/>
        </w:rPr>
        <w:t>2022</w:t>
      </w:r>
      <w:r>
        <w:rPr>
          <w:rFonts w:ascii="Arial" w:hAnsi="Arial" w:cs="Arial"/>
          <w:color w:val="0E101A"/>
          <w:sz w:val="20"/>
          <w:szCs w:val="20"/>
          <w:lang w:val="de-DE"/>
        </w:rPr>
        <w:t xml:space="preserve"> </w:t>
      </w:r>
      <w:r w:rsidRPr="00A06850">
        <w:rPr>
          <w:rFonts w:ascii="Arial" w:hAnsi="Arial" w:cs="Arial"/>
          <w:color w:val="0E101A"/>
          <w:sz w:val="20"/>
          <w:szCs w:val="20"/>
          <w:lang w:val="de-DE"/>
        </w:rPr>
        <w:t xml:space="preserve">– </w:t>
      </w:r>
      <w:hyperlink r:id="rId7" w:history="1">
        <w:r w:rsidRPr="00A06850">
          <w:rPr>
            <w:rStyle w:val="Hyperlink"/>
            <w:rFonts w:ascii="Arial" w:hAnsi="Arial" w:cs="Arial"/>
            <w:sz w:val="20"/>
            <w:szCs w:val="20"/>
            <w:lang w:val="de-DE"/>
          </w:rPr>
          <w:t>NTT DATA</w:t>
        </w:r>
      </w:hyperlink>
      <w:r w:rsidRPr="00A06850">
        <w:rPr>
          <w:rFonts w:ascii="Arial" w:hAnsi="Arial" w:cs="Arial"/>
          <w:color w:val="0E101A"/>
          <w:sz w:val="20"/>
          <w:szCs w:val="20"/>
          <w:lang w:val="de-DE"/>
        </w:rPr>
        <w:t xml:space="preserve"> hat heute bekannt gegeben, dass das Unternehmen die NTT DATA Wall – seine Medieninstallation für Detailanalysen – zu den </w:t>
      </w:r>
      <w:hyperlink r:id="rId8" w:history="1">
        <w:r w:rsidRPr="00A06850">
          <w:rPr>
            <w:rStyle w:val="Hyperlink"/>
            <w:rFonts w:ascii="Arial" w:hAnsi="Arial" w:cs="Arial"/>
            <w:sz w:val="20"/>
            <w:szCs w:val="20"/>
            <w:lang w:val="de-DE"/>
          </w:rPr>
          <w:t>BMW International Open 2022</w:t>
        </w:r>
      </w:hyperlink>
      <w:r w:rsidRPr="00A06850">
        <w:rPr>
          <w:rFonts w:ascii="Arial" w:hAnsi="Arial" w:cs="Arial"/>
          <w:color w:val="0E101A"/>
          <w:sz w:val="20"/>
          <w:szCs w:val="20"/>
          <w:lang w:val="de-DE"/>
        </w:rPr>
        <w:t xml:space="preserve"> mitbringen wird. NTT DATA setzt als Hauptpartner des deutschen Turniers sein Sponsoring fort. Das Unternehmen bietet Fans Daten, Analysen und modernste Sporttechnologie, so dass sie das Geschehen in Echtzeit verfolgen können, auf dem Platz oder zu Hause.</w:t>
      </w:r>
    </w:p>
    <w:p w14:paraId="0BC0383F" w14:textId="77777777" w:rsidR="00982F1F" w:rsidRPr="00A06850" w:rsidRDefault="00982F1F" w:rsidP="00982F1F">
      <w:pPr>
        <w:pStyle w:val="StandardWeb"/>
        <w:spacing w:before="0" w:beforeAutospacing="0" w:after="0" w:afterAutospacing="0"/>
        <w:rPr>
          <w:rFonts w:ascii="Arial" w:hAnsi="Arial" w:cs="Arial"/>
          <w:color w:val="0E101A"/>
          <w:sz w:val="20"/>
          <w:szCs w:val="20"/>
          <w:lang w:val="de-DE"/>
        </w:rPr>
      </w:pPr>
    </w:p>
    <w:p w14:paraId="683A7C6F" w14:textId="1F6DA474" w:rsidR="00982F1F" w:rsidRPr="00A06850" w:rsidRDefault="00982F1F" w:rsidP="00982F1F">
      <w:pPr>
        <w:pStyle w:val="StandardWeb"/>
        <w:spacing w:before="0" w:beforeAutospacing="0" w:after="0" w:afterAutospacing="0"/>
        <w:rPr>
          <w:rFonts w:ascii="Arial" w:hAnsi="Arial" w:cs="Arial"/>
          <w:color w:val="0E101A"/>
          <w:sz w:val="20"/>
          <w:szCs w:val="20"/>
          <w:lang w:val="de-DE"/>
        </w:rPr>
      </w:pPr>
      <w:r w:rsidRPr="00A06850">
        <w:rPr>
          <w:rFonts w:ascii="Arial" w:hAnsi="Arial" w:cs="Arial"/>
          <w:color w:val="0E101A"/>
          <w:sz w:val="20"/>
          <w:szCs w:val="20"/>
          <w:lang w:val="de-DE"/>
        </w:rPr>
        <w:t>Das anhaltende Mitwirken von NTT DATA an der Veranstaltung bekräftigt erneut die seit über 30 Jahren bestehende Beziehung zu</w:t>
      </w:r>
      <w:r w:rsidR="00696277">
        <w:rPr>
          <w:rFonts w:ascii="Arial" w:hAnsi="Arial" w:cs="Arial"/>
          <w:color w:val="0E101A"/>
          <w:sz w:val="20"/>
          <w:szCs w:val="20"/>
          <w:lang w:val="de-DE"/>
        </w:rPr>
        <w:t>r</w:t>
      </w:r>
      <w:r w:rsidRPr="00A06850">
        <w:rPr>
          <w:rFonts w:ascii="Arial" w:hAnsi="Arial" w:cs="Arial"/>
          <w:color w:val="0E101A"/>
          <w:sz w:val="20"/>
          <w:szCs w:val="20"/>
          <w:lang w:val="de-DE"/>
        </w:rPr>
        <w:t xml:space="preserve"> BMW</w:t>
      </w:r>
      <w:r w:rsidR="00696277">
        <w:rPr>
          <w:rFonts w:ascii="Arial" w:hAnsi="Arial" w:cs="Arial"/>
          <w:color w:val="0E101A"/>
          <w:sz w:val="20"/>
          <w:szCs w:val="20"/>
          <w:lang w:val="de-DE"/>
        </w:rPr>
        <w:t xml:space="preserve"> Group</w:t>
      </w:r>
      <w:r w:rsidRPr="00A06850">
        <w:rPr>
          <w:rFonts w:ascii="Arial" w:hAnsi="Arial" w:cs="Arial"/>
          <w:color w:val="0E101A"/>
          <w:sz w:val="20"/>
          <w:szCs w:val="20"/>
          <w:lang w:val="de-DE"/>
        </w:rPr>
        <w:t>. In einer globalen Zusammenarbeit unterstützt NTT DATA den Automobilriesen bei der durchgängigen digitalen Transformation, der Optimierung von Prozessen und bei Innovationen.</w:t>
      </w:r>
    </w:p>
    <w:p w14:paraId="26C4AD54" w14:textId="77777777" w:rsidR="00982F1F" w:rsidRPr="00A06850" w:rsidRDefault="00982F1F" w:rsidP="00982F1F">
      <w:pPr>
        <w:pStyle w:val="StandardWeb"/>
        <w:spacing w:before="0" w:beforeAutospacing="0" w:after="0" w:afterAutospacing="0"/>
        <w:rPr>
          <w:rFonts w:ascii="Arial" w:hAnsi="Arial" w:cs="Arial"/>
          <w:color w:val="0E101A"/>
          <w:sz w:val="20"/>
          <w:szCs w:val="20"/>
          <w:lang w:val="de-DE"/>
        </w:rPr>
      </w:pPr>
    </w:p>
    <w:p w14:paraId="623A44C8" w14:textId="77777777" w:rsidR="00982F1F" w:rsidRPr="00A06850" w:rsidRDefault="00982F1F" w:rsidP="00982F1F">
      <w:pPr>
        <w:pStyle w:val="StandardWeb"/>
        <w:spacing w:before="0" w:beforeAutospacing="0" w:after="0" w:afterAutospacing="0"/>
        <w:rPr>
          <w:rFonts w:ascii="Arial" w:hAnsi="Arial" w:cs="Arial"/>
          <w:color w:val="0E101A"/>
          <w:sz w:val="20"/>
          <w:szCs w:val="20"/>
          <w:lang w:val="de-DE"/>
        </w:rPr>
      </w:pPr>
      <w:r w:rsidRPr="00A06850">
        <w:rPr>
          <w:rFonts w:ascii="Arial" w:hAnsi="Arial" w:cs="Arial"/>
          <w:color w:val="0E101A"/>
          <w:sz w:val="20"/>
          <w:szCs w:val="20"/>
          <w:lang w:val="de-DE"/>
        </w:rPr>
        <w:t>Beide Organisationen stellen Innovation in den Mittelpunkt ihres Handelns. Dies zeigte sich auch bei den BMW International Open 2021: Die Zusammenarbeit mit NTT DATA ließ Fans den Sport auf neue Art erleben und genießen. Diesen Erfolg setzen die Partner auch dieses Jahr fort, um den Fans das bestmögliche Erlebnis dank der Datendarstellung unter anderem durch die NTT DATA Wall zu bieten.</w:t>
      </w:r>
    </w:p>
    <w:p w14:paraId="706DA19E" w14:textId="77777777" w:rsidR="00982F1F" w:rsidRPr="00A06850" w:rsidRDefault="00982F1F" w:rsidP="00982F1F">
      <w:pPr>
        <w:pStyle w:val="StandardWeb"/>
        <w:spacing w:before="0" w:beforeAutospacing="0" w:after="0" w:afterAutospacing="0"/>
        <w:rPr>
          <w:rFonts w:ascii="Arial" w:hAnsi="Arial" w:cs="Arial"/>
          <w:color w:val="0E101A"/>
          <w:sz w:val="20"/>
          <w:szCs w:val="20"/>
          <w:lang w:val="de-DE"/>
        </w:rPr>
      </w:pPr>
    </w:p>
    <w:p w14:paraId="38DE18FE" w14:textId="7B4C9A66" w:rsidR="00982F1F" w:rsidRDefault="00982F1F" w:rsidP="00982F1F">
      <w:pPr>
        <w:pStyle w:val="StandardWeb"/>
        <w:spacing w:before="0" w:beforeAutospacing="0" w:after="0" w:afterAutospacing="0"/>
        <w:rPr>
          <w:rFonts w:ascii="Arial" w:hAnsi="Arial" w:cs="Arial"/>
          <w:color w:val="0E101A"/>
          <w:sz w:val="20"/>
          <w:szCs w:val="20"/>
          <w:lang w:val="de-DE"/>
        </w:rPr>
      </w:pPr>
      <w:r w:rsidRPr="00A06850">
        <w:rPr>
          <w:rFonts w:ascii="Arial" w:hAnsi="Arial" w:cs="Arial"/>
          <w:color w:val="0E101A"/>
          <w:sz w:val="20"/>
          <w:szCs w:val="20"/>
          <w:lang w:val="de-DE"/>
        </w:rPr>
        <w:t>Fans können sich in die digitale Plattform von BMW Golf Sport einloggen und dort auf umfangreiche Analysen von NTT DATA zugreifen, die viele Daten nutzen, um die Geschichte hinter dem Punktestand zu erzählen. Die datenreichen Grafiken erklären, wie die Spieler auf dem Platz und untereinander abschneiden. So lässt sich zum Beispiel ablesen, wer die besten Abschläge des Tages macht, wer die meisten Fairways trifft und welche Spieler die wenigsten Putts pro Loch benötigen. Darüber hinaus verfolgt der intelligente Priorisierungsalgorithmus von NTT DATA die wichtigsten Entwicklungen während des Turniers in Echtzeit. Das heißt, wenn ein wichtiges Ereignis auf dem Platz eintritt, wie zum Beispiel ein Schlagverlust des Führenden oder ein Eagle-Treffer eines Verfolgers, der die Führung übernimmt, wird die Nachricht auf dem interaktiven Service und auf der NTT DATA Wall angezeigt. So können sich die Fans über jedes Highlight auf dem Platz auf dem Laufenden halten, sobald es passiert.</w:t>
      </w:r>
    </w:p>
    <w:p w14:paraId="44CC3184" w14:textId="77777777" w:rsidR="00982F1F" w:rsidRPr="00A06850" w:rsidRDefault="00982F1F" w:rsidP="00982F1F">
      <w:pPr>
        <w:pStyle w:val="StandardWeb"/>
        <w:spacing w:before="0" w:beforeAutospacing="0" w:after="0" w:afterAutospacing="0"/>
        <w:rPr>
          <w:rFonts w:ascii="Arial" w:hAnsi="Arial" w:cs="Arial"/>
          <w:color w:val="0E101A"/>
          <w:sz w:val="20"/>
          <w:szCs w:val="20"/>
          <w:lang w:val="de-DE"/>
        </w:rPr>
      </w:pPr>
    </w:p>
    <w:p w14:paraId="3B71A602" w14:textId="623A4ACA" w:rsidR="00982F1F" w:rsidRDefault="00982F1F" w:rsidP="00982F1F">
      <w:pPr>
        <w:rPr>
          <w:rFonts w:ascii="Arial" w:eastAsia="Times New Roman" w:hAnsi="Arial" w:cs="Arial"/>
          <w:color w:val="0E101A"/>
          <w:sz w:val="20"/>
          <w:szCs w:val="20"/>
          <w:lang w:val="de-DE" w:eastAsia="en-GB"/>
        </w:rPr>
      </w:pPr>
      <w:r w:rsidRPr="00CA702E">
        <w:rPr>
          <w:rFonts w:ascii="Arial" w:eastAsia="Times New Roman" w:hAnsi="Arial" w:cs="Arial"/>
          <w:color w:val="0E101A"/>
          <w:sz w:val="20"/>
          <w:szCs w:val="20"/>
          <w:lang w:val="de-DE" w:eastAsia="en-GB"/>
        </w:rPr>
        <w:t xml:space="preserve">Stefan Hansen, CEO und Vorsitzender der Geschäftsführung NTT DATA DACH, kommentiert: </w:t>
      </w:r>
      <w:r w:rsidR="000061FC">
        <w:rPr>
          <w:rFonts w:ascii="Arial" w:eastAsia="Times New Roman" w:hAnsi="Arial" w:cs="Arial"/>
          <w:color w:val="0E101A"/>
          <w:sz w:val="20"/>
          <w:szCs w:val="20"/>
          <w:lang w:val="de-DE" w:eastAsia="en-GB"/>
        </w:rPr>
        <w:t>„</w:t>
      </w:r>
      <w:r w:rsidR="00696277">
        <w:rPr>
          <w:rFonts w:ascii="Arial" w:eastAsia="Times New Roman" w:hAnsi="Arial" w:cs="Arial"/>
          <w:color w:val="0E101A"/>
          <w:sz w:val="20"/>
          <w:szCs w:val="20"/>
          <w:lang w:val="de-DE" w:eastAsia="en-GB"/>
        </w:rPr>
        <w:t xml:space="preserve">Die </w:t>
      </w:r>
      <w:r w:rsidRPr="00CA702E">
        <w:rPr>
          <w:rFonts w:ascii="Arial" w:eastAsia="Times New Roman" w:hAnsi="Arial" w:cs="Arial"/>
          <w:color w:val="0E101A"/>
          <w:sz w:val="20"/>
          <w:szCs w:val="20"/>
          <w:lang w:val="de-DE" w:eastAsia="en-GB"/>
        </w:rPr>
        <w:t>BMW</w:t>
      </w:r>
      <w:r w:rsidR="00696277">
        <w:rPr>
          <w:rFonts w:ascii="Arial" w:eastAsia="Times New Roman" w:hAnsi="Arial" w:cs="Arial"/>
          <w:color w:val="0E101A"/>
          <w:sz w:val="20"/>
          <w:szCs w:val="20"/>
          <w:lang w:val="de-DE" w:eastAsia="en-GB"/>
        </w:rPr>
        <w:t xml:space="preserve"> Group</w:t>
      </w:r>
      <w:r w:rsidRPr="00CA702E">
        <w:rPr>
          <w:rFonts w:ascii="Arial" w:eastAsia="Times New Roman" w:hAnsi="Arial" w:cs="Arial"/>
          <w:color w:val="0E101A"/>
          <w:sz w:val="20"/>
          <w:szCs w:val="20"/>
          <w:lang w:val="de-DE" w:eastAsia="en-GB"/>
        </w:rPr>
        <w:t xml:space="preserve"> und NTT DATA verbindet eine über 30-jährige Zusammenarbeit, hier in Deutschland aber auch weltweit. Der Erfolg der BMW International Open 2021, unter schwierigen Umständen, ist ein Beweis für die Stärke unserer </w:t>
      </w:r>
      <w:r w:rsidR="000061FC" w:rsidRPr="00CA702E">
        <w:rPr>
          <w:rFonts w:ascii="Arial" w:eastAsia="Times New Roman" w:hAnsi="Arial" w:cs="Arial"/>
          <w:color w:val="0E101A"/>
          <w:sz w:val="20"/>
          <w:szCs w:val="20"/>
          <w:lang w:val="de-DE" w:eastAsia="en-GB"/>
        </w:rPr>
        <w:t>Partnerschaft. Technologie</w:t>
      </w:r>
      <w:r w:rsidRPr="00CA702E">
        <w:rPr>
          <w:rFonts w:ascii="Arial" w:eastAsia="Times New Roman" w:hAnsi="Arial" w:cs="Arial"/>
          <w:color w:val="0E101A"/>
          <w:sz w:val="20"/>
          <w:szCs w:val="20"/>
          <w:lang w:val="de-DE" w:eastAsia="en-GB"/>
        </w:rPr>
        <w:t xml:space="preserve"> hat das Potenzial, die Fans näher an den Sport zu bringen und es wird immer deutlicher, dass sie der Schlüssel sein wird, um das Fanerlebnis der Zukunft zu gestalten. Um das Fanerlebnis bei den BMW International Open 2022 gemeinsam zu revolutionieren, setzen wir </w:t>
      </w:r>
      <w:r>
        <w:rPr>
          <w:rFonts w:ascii="Arial" w:eastAsia="Times New Roman" w:hAnsi="Arial" w:cs="Arial"/>
          <w:color w:val="0E101A"/>
          <w:sz w:val="20"/>
          <w:szCs w:val="20"/>
          <w:lang w:val="de-DE" w:eastAsia="en-GB"/>
        </w:rPr>
        <w:t>dieses Jahr</w:t>
      </w:r>
      <w:r w:rsidRPr="00CA702E">
        <w:rPr>
          <w:rFonts w:ascii="Arial" w:eastAsia="Times New Roman" w:hAnsi="Arial" w:cs="Arial"/>
          <w:color w:val="0E101A"/>
          <w:sz w:val="20"/>
          <w:szCs w:val="20"/>
          <w:lang w:val="de-DE" w:eastAsia="en-GB"/>
        </w:rPr>
        <w:t xml:space="preserve"> vor Ort erstmals die NTT DATA Wall ein. </w:t>
      </w:r>
      <w:r>
        <w:rPr>
          <w:rFonts w:ascii="Arial" w:eastAsia="Times New Roman" w:hAnsi="Arial" w:cs="Arial"/>
          <w:color w:val="0E101A"/>
          <w:sz w:val="20"/>
          <w:szCs w:val="20"/>
          <w:lang w:val="de-DE" w:eastAsia="en-GB"/>
        </w:rPr>
        <w:t>Dies</w:t>
      </w:r>
      <w:r w:rsidRPr="00CA702E">
        <w:rPr>
          <w:rFonts w:ascii="Arial" w:eastAsia="Times New Roman" w:hAnsi="Arial" w:cs="Arial"/>
          <w:color w:val="0E101A"/>
          <w:sz w:val="20"/>
          <w:szCs w:val="20"/>
          <w:lang w:val="de-DE" w:eastAsia="en-GB"/>
        </w:rPr>
        <w:t xml:space="preserve"> eröffnet uns die Möglichkeit, den Fans ein noch nie dagewesenes Datenerlebnis zu bieten.</w:t>
      </w:r>
      <w:r w:rsidR="000061FC">
        <w:rPr>
          <w:rFonts w:ascii="Arial" w:eastAsia="Times New Roman" w:hAnsi="Arial" w:cs="Arial"/>
          <w:color w:val="0E101A"/>
          <w:sz w:val="20"/>
          <w:szCs w:val="20"/>
          <w:lang w:val="de-DE" w:eastAsia="en-GB"/>
        </w:rPr>
        <w:t>“</w:t>
      </w:r>
    </w:p>
    <w:p w14:paraId="226DE7C8" w14:textId="77777777" w:rsidR="00982F1F" w:rsidRPr="00CA702E" w:rsidRDefault="00982F1F" w:rsidP="00982F1F">
      <w:pPr>
        <w:rPr>
          <w:rFonts w:ascii="Arial" w:eastAsia="Times New Roman" w:hAnsi="Arial" w:cs="Arial"/>
          <w:color w:val="0E101A"/>
          <w:sz w:val="20"/>
          <w:szCs w:val="20"/>
          <w:lang w:val="de-DE" w:eastAsia="en-GB"/>
        </w:rPr>
      </w:pPr>
    </w:p>
    <w:p w14:paraId="11FA7D7C" w14:textId="56632997" w:rsidR="00982F1F" w:rsidRPr="00A06850" w:rsidRDefault="00982F1F" w:rsidP="00982F1F">
      <w:pPr>
        <w:pStyle w:val="StandardWeb"/>
        <w:spacing w:before="0" w:beforeAutospacing="0" w:after="0" w:afterAutospacing="0"/>
        <w:rPr>
          <w:rFonts w:ascii="Arial" w:hAnsi="Arial" w:cs="Arial"/>
          <w:color w:val="0E101A"/>
          <w:sz w:val="20"/>
          <w:szCs w:val="20"/>
          <w:lang w:val="de-DE"/>
        </w:rPr>
      </w:pPr>
      <w:r w:rsidRPr="00A06850">
        <w:rPr>
          <w:rFonts w:ascii="Arial" w:hAnsi="Arial" w:cs="Arial"/>
          <w:color w:val="0E101A"/>
          <w:sz w:val="20"/>
          <w:szCs w:val="20"/>
          <w:lang w:val="de-DE"/>
        </w:rPr>
        <w:t>Jörn Plinke, Leiter des BMW Golfsport Marketings bei der BMW Group, erklärt: „Nach über 30 Jahren Partnerschaft wussten wir, dass</w:t>
      </w:r>
      <w:r w:rsidR="00696277">
        <w:rPr>
          <w:rFonts w:ascii="Arial" w:hAnsi="Arial" w:cs="Arial"/>
          <w:color w:val="0E101A"/>
          <w:sz w:val="20"/>
          <w:szCs w:val="20"/>
          <w:lang w:val="de-DE"/>
        </w:rPr>
        <w:t xml:space="preserve"> die Einbindung</w:t>
      </w:r>
      <w:r w:rsidR="005B5C5D">
        <w:rPr>
          <w:rFonts w:ascii="Arial" w:hAnsi="Arial" w:cs="Arial"/>
          <w:color w:val="0E101A"/>
          <w:sz w:val="20"/>
          <w:szCs w:val="20"/>
          <w:lang w:val="de-DE"/>
        </w:rPr>
        <w:t xml:space="preserve"> </w:t>
      </w:r>
      <w:r w:rsidR="00696277">
        <w:rPr>
          <w:rFonts w:ascii="Arial" w:hAnsi="Arial" w:cs="Arial"/>
          <w:color w:val="0E101A"/>
          <w:sz w:val="20"/>
          <w:szCs w:val="20"/>
          <w:lang w:val="de-DE"/>
        </w:rPr>
        <w:t>von NTT DATA in</w:t>
      </w:r>
      <w:r w:rsidRPr="00A06850">
        <w:rPr>
          <w:rFonts w:ascii="Arial" w:hAnsi="Arial" w:cs="Arial"/>
          <w:color w:val="0E101A"/>
          <w:sz w:val="20"/>
          <w:szCs w:val="20"/>
          <w:lang w:val="de-DE"/>
        </w:rPr>
        <w:t xml:space="preserve"> unsere Golfsport-Events spannende Innovationen für Zuschauer</w:t>
      </w:r>
      <w:r w:rsidR="00696277">
        <w:rPr>
          <w:rFonts w:ascii="Arial" w:hAnsi="Arial" w:cs="Arial"/>
          <w:color w:val="0E101A"/>
          <w:sz w:val="20"/>
          <w:szCs w:val="20"/>
          <w:lang w:val="de-DE"/>
        </w:rPr>
        <w:t xml:space="preserve"> und Fans</w:t>
      </w:r>
      <w:r w:rsidRPr="00A06850">
        <w:rPr>
          <w:rFonts w:ascii="Arial" w:hAnsi="Arial" w:cs="Arial"/>
          <w:color w:val="0E101A"/>
          <w:sz w:val="20"/>
          <w:szCs w:val="20"/>
          <w:lang w:val="de-DE"/>
        </w:rPr>
        <w:t xml:space="preserve"> </w:t>
      </w:r>
      <w:r w:rsidR="00696277">
        <w:rPr>
          <w:rFonts w:ascii="Arial" w:hAnsi="Arial" w:cs="Arial"/>
          <w:color w:val="0E101A"/>
          <w:sz w:val="20"/>
          <w:szCs w:val="20"/>
          <w:lang w:val="de-DE"/>
        </w:rPr>
        <w:t xml:space="preserve">mit sich </w:t>
      </w:r>
      <w:r w:rsidR="005B5C5D">
        <w:rPr>
          <w:rFonts w:ascii="Arial" w:hAnsi="Arial" w:cs="Arial"/>
          <w:color w:val="0E101A"/>
          <w:sz w:val="20"/>
          <w:szCs w:val="20"/>
          <w:lang w:val="de-DE"/>
        </w:rPr>
        <w:t>bringen würde</w:t>
      </w:r>
      <w:r w:rsidRPr="00A06850">
        <w:rPr>
          <w:rFonts w:ascii="Arial" w:hAnsi="Arial" w:cs="Arial"/>
          <w:color w:val="0E101A"/>
          <w:sz w:val="20"/>
          <w:szCs w:val="20"/>
          <w:lang w:val="de-DE"/>
        </w:rPr>
        <w:t xml:space="preserve">. </w:t>
      </w:r>
      <w:r w:rsidR="005B5C5D">
        <w:rPr>
          <w:rFonts w:ascii="Arial" w:hAnsi="Arial" w:cs="Arial"/>
          <w:color w:val="0E101A"/>
          <w:sz w:val="20"/>
          <w:szCs w:val="20"/>
          <w:lang w:val="de-DE"/>
        </w:rPr>
        <w:t>Die</w:t>
      </w:r>
      <w:r w:rsidRPr="00A06850">
        <w:rPr>
          <w:rFonts w:ascii="Arial" w:hAnsi="Arial" w:cs="Arial"/>
          <w:color w:val="0E101A"/>
          <w:sz w:val="20"/>
          <w:szCs w:val="20"/>
          <w:lang w:val="de-DE"/>
        </w:rPr>
        <w:t xml:space="preserve"> Veranstaltung letztes Jahr hat </w:t>
      </w:r>
      <w:r w:rsidR="005B5C5D">
        <w:rPr>
          <w:rFonts w:ascii="Arial" w:hAnsi="Arial" w:cs="Arial"/>
          <w:color w:val="0E101A"/>
          <w:sz w:val="20"/>
          <w:szCs w:val="20"/>
          <w:lang w:val="de-DE"/>
        </w:rPr>
        <w:t xml:space="preserve">uns Recht gegeben. Jetzt </w:t>
      </w:r>
      <w:r w:rsidRPr="00A06850">
        <w:rPr>
          <w:rFonts w:ascii="Arial" w:hAnsi="Arial" w:cs="Arial"/>
          <w:color w:val="0E101A"/>
          <w:sz w:val="20"/>
          <w:szCs w:val="20"/>
          <w:lang w:val="de-DE"/>
        </w:rPr>
        <w:t>freuen wir uns über die Einführung der NTT DATA Wall, die den Besuchern der Veranstaltung ein spannendes Erlebnis bietet, während wir gleichzeitig auch die Zuschauer zu Hause ansprechen.</w:t>
      </w:r>
      <w:r w:rsidR="000061FC">
        <w:rPr>
          <w:rFonts w:ascii="Arial" w:hAnsi="Arial" w:cs="Arial"/>
          <w:color w:val="0E101A"/>
          <w:sz w:val="20"/>
          <w:szCs w:val="20"/>
          <w:lang w:val="de-DE"/>
        </w:rPr>
        <w:t xml:space="preserve"> </w:t>
      </w:r>
      <w:r w:rsidRPr="00A06850">
        <w:rPr>
          <w:rFonts w:ascii="Arial" w:hAnsi="Arial" w:cs="Arial"/>
          <w:color w:val="0E101A"/>
          <w:sz w:val="20"/>
          <w:szCs w:val="20"/>
          <w:lang w:val="de-DE"/>
        </w:rPr>
        <w:t xml:space="preserve">Damit bieten wir </w:t>
      </w:r>
      <w:r w:rsidRPr="00A06850">
        <w:rPr>
          <w:rFonts w:ascii="Arial" w:hAnsi="Arial" w:cs="Arial"/>
          <w:color w:val="0E101A"/>
          <w:sz w:val="20"/>
          <w:szCs w:val="20"/>
          <w:lang w:val="de-DE"/>
        </w:rPr>
        <w:lastRenderedPageBreak/>
        <w:t>gemeinsam mit NTT DATA ein Datenerlebnis, das zu dem Prestige des renommierten Wettkampfs passt.</w:t>
      </w:r>
      <w:r w:rsidR="000061FC">
        <w:rPr>
          <w:rFonts w:ascii="Arial" w:hAnsi="Arial" w:cs="Arial"/>
          <w:color w:val="0E101A"/>
          <w:sz w:val="20"/>
          <w:szCs w:val="20"/>
          <w:lang w:val="de-DE"/>
        </w:rPr>
        <w:t>“</w:t>
      </w:r>
    </w:p>
    <w:p w14:paraId="51ACC0F5" w14:textId="77777777" w:rsidR="00982F1F" w:rsidRPr="000C0BD7" w:rsidRDefault="00982F1F" w:rsidP="00982F1F">
      <w:pPr>
        <w:rPr>
          <w:rFonts w:ascii="Arial" w:hAnsi="Arial" w:cs="Arial"/>
          <w:sz w:val="20"/>
          <w:szCs w:val="20"/>
          <w:lang w:val="de-AT"/>
        </w:rPr>
      </w:pPr>
    </w:p>
    <w:p w14:paraId="34FEE805" w14:textId="47D71F32" w:rsidR="005B5C5D" w:rsidRDefault="00982F1F" w:rsidP="00982F1F">
      <w:pPr>
        <w:rPr>
          <w:rFonts w:ascii="Arial" w:hAnsi="Arial" w:cs="Arial"/>
          <w:color w:val="000000"/>
          <w:sz w:val="20"/>
          <w:szCs w:val="20"/>
          <w:lang w:val="de-DE"/>
        </w:rPr>
      </w:pPr>
      <w:r w:rsidRPr="00A06850">
        <w:rPr>
          <w:rFonts w:ascii="Arial" w:hAnsi="Arial" w:cs="Arial"/>
          <w:color w:val="000000"/>
          <w:sz w:val="20"/>
          <w:szCs w:val="20"/>
          <w:lang w:val="de-DE"/>
        </w:rPr>
        <w:t xml:space="preserve">Weitere Informationen finden Sie unter: </w:t>
      </w:r>
      <w:hyperlink r:id="rId9" w:history="1">
        <w:r w:rsidR="005B5C5D" w:rsidRPr="00175691">
          <w:rPr>
            <w:rStyle w:val="Hyperlink"/>
            <w:rFonts w:ascii="Arial" w:hAnsi="Arial" w:cs="Arial"/>
            <w:sz w:val="20"/>
            <w:szCs w:val="20"/>
            <w:lang w:val="de-DE"/>
          </w:rPr>
          <w:t>https://de.nttdata.com/ueber-ntt-data/sports-sponsorships/bmw-international-open</w:t>
        </w:r>
      </w:hyperlink>
    </w:p>
    <w:p w14:paraId="6B7358B5" w14:textId="3AE6FC78" w:rsidR="00982F1F" w:rsidRPr="00A06850" w:rsidRDefault="00982F1F" w:rsidP="00982F1F">
      <w:pPr>
        <w:rPr>
          <w:rFonts w:ascii="Arial" w:hAnsi="Arial" w:cs="Arial"/>
          <w:color w:val="000000"/>
          <w:sz w:val="20"/>
          <w:szCs w:val="20"/>
          <w:lang w:val="de-DE"/>
        </w:rPr>
      </w:pPr>
    </w:p>
    <w:p w14:paraId="7D16E041" w14:textId="77777777" w:rsidR="00982F1F" w:rsidRPr="00A06850" w:rsidRDefault="00982F1F" w:rsidP="00982F1F">
      <w:pPr>
        <w:rPr>
          <w:rFonts w:ascii="Arial" w:hAnsi="Arial" w:cs="Arial"/>
          <w:sz w:val="20"/>
          <w:szCs w:val="20"/>
          <w:lang w:val="de-DE"/>
        </w:rPr>
      </w:pPr>
      <w:bookmarkStart w:id="0" w:name="_GoBack"/>
      <w:bookmarkEnd w:id="0"/>
    </w:p>
    <w:p w14:paraId="1A17ED11" w14:textId="77777777" w:rsidR="00982F1F" w:rsidRPr="001F7943" w:rsidRDefault="00982F1F" w:rsidP="00982F1F">
      <w:pPr>
        <w:rPr>
          <w:rFonts w:ascii="Arial" w:hAnsi="Arial" w:cs="Arial"/>
          <w:b/>
          <w:bCs/>
          <w:sz w:val="22"/>
          <w:szCs w:val="22"/>
          <w:lang w:val="de-DE"/>
        </w:rPr>
      </w:pPr>
      <w:r w:rsidRPr="001F7943">
        <w:rPr>
          <w:rFonts w:ascii="Arial" w:hAnsi="Arial" w:cs="Arial"/>
          <w:b/>
          <w:bCs/>
          <w:sz w:val="22"/>
          <w:szCs w:val="22"/>
          <w:lang w:val="de-DE"/>
        </w:rPr>
        <w:t>Über NTT DATA</w:t>
      </w:r>
    </w:p>
    <w:p w14:paraId="22EE54FB" w14:textId="77777777" w:rsidR="00982F1F" w:rsidRPr="00A06850" w:rsidRDefault="00982F1F" w:rsidP="00982F1F">
      <w:pPr>
        <w:rPr>
          <w:rFonts w:ascii="Arial" w:hAnsi="Arial" w:cs="Arial"/>
          <w:sz w:val="21"/>
          <w:szCs w:val="21"/>
          <w:lang w:val="de-DE"/>
        </w:rPr>
      </w:pPr>
    </w:p>
    <w:p w14:paraId="2C3EF6AE" w14:textId="77777777" w:rsidR="00982F1F" w:rsidRPr="00A06850" w:rsidRDefault="00982F1F" w:rsidP="00982F1F">
      <w:pPr>
        <w:rPr>
          <w:rFonts w:ascii="Arial" w:hAnsi="Arial" w:cs="Arial"/>
          <w:sz w:val="20"/>
          <w:szCs w:val="20"/>
          <w:lang w:val="de-DE"/>
        </w:rPr>
      </w:pPr>
      <w:r w:rsidRPr="00A06850">
        <w:rPr>
          <w:rFonts w:ascii="Arial" w:hAnsi="Arial" w:cs="Arial"/>
          <w:sz w:val="20"/>
          <w:szCs w:val="20"/>
          <w:lang w:val="de-DE"/>
        </w:rPr>
        <w:t xml:space="preserve">NTT DATA – ein Teil der NTT Group – ist Trusted Global Innovator von Business- und IT-Lösungen mit Hauptsitz in Tokio. Wir unterstützen unsere Kunden bei ihrer Transformation durch Consulting, Branchenlösungen, Business </w:t>
      </w:r>
      <w:proofErr w:type="spellStart"/>
      <w:r w:rsidRPr="00A06850">
        <w:rPr>
          <w:rFonts w:ascii="Arial" w:hAnsi="Arial" w:cs="Arial"/>
          <w:sz w:val="20"/>
          <w:szCs w:val="20"/>
          <w:lang w:val="de-DE"/>
        </w:rPr>
        <w:t>Process</w:t>
      </w:r>
      <w:proofErr w:type="spellEnd"/>
      <w:r w:rsidRPr="00A06850">
        <w:rPr>
          <w:rFonts w:ascii="Arial" w:hAnsi="Arial" w:cs="Arial"/>
          <w:sz w:val="20"/>
          <w:szCs w:val="20"/>
          <w:lang w:val="de-DE"/>
        </w:rPr>
        <w:t xml:space="preserve"> Services, Digital- und IT-Modernisierung und </w:t>
      </w:r>
      <w:proofErr w:type="spellStart"/>
      <w:r w:rsidRPr="00A06850">
        <w:rPr>
          <w:rFonts w:ascii="Arial" w:hAnsi="Arial" w:cs="Arial"/>
          <w:sz w:val="20"/>
          <w:szCs w:val="20"/>
          <w:lang w:val="de-DE"/>
        </w:rPr>
        <w:t>Managed</w:t>
      </w:r>
      <w:proofErr w:type="spellEnd"/>
      <w:r w:rsidRPr="00A06850">
        <w:rPr>
          <w:rFonts w:ascii="Arial" w:hAnsi="Arial" w:cs="Arial"/>
          <w:sz w:val="20"/>
          <w:szCs w:val="20"/>
          <w:lang w:val="de-DE"/>
        </w:rPr>
        <w:t xml:space="preserve"> Services. Mit NTT DATA können Kunden und die Gesellschaft selbstbewusst in die digitale Zukunft gehen. Wir setzen uns für den langfristigen Erfolg unserer Kunden ein und kombinieren globale Präsenz mit lokaler Kundenbetreuung in über 50 Ländern. Besuchen Sie uns unter </w:t>
      </w:r>
      <w:hyperlink r:id="rId10" w:history="1">
        <w:r w:rsidRPr="00A06850">
          <w:rPr>
            <w:rStyle w:val="Hyperlink"/>
            <w:rFonts w:ascii="Arial" w:hAnsi="Arial" w:cs="Arial"/>
            <w:sz w:val="20"/>
            <w:szCs w:val="20"/>
            <w:lang w:val="de-DE"/>
          </w:rPr>
          <w:t>nttdata.com</w:t>
        </w:r>
      </w:hyperlink>
    </w:p>
    <w:p w14:paraId="068A2E5B" w14:textId="71A62BC0" w:rsidR="00982F1F" w:rsidRPr="00982F1F" w:rsidRDefault="00982F1F" w:rsidP="00982F1F">
      <w:pPr>
        <w:rPr>
          <w:rFonts w:ascii="Arial" w:hAnsi="Arial" w:cs="Arial"/>
          <w:sz w:val="20"/>
          <w:szCs w:val="20"/>
          <w:lang w:val="de-DE"/>
        </w:rPr>
      </w:pPr>
    </w:p>
    <w:p w14:paraId="0EE9549F" w14:textId="77777777" w:rsidR="00982F1F" w:rsidRPr="00982F1F" w:rsidRDefault="00982F1F" w:rsidP="00982F1F">
      <w:pPr>
        <w:rPr>
          <w:rFonts w:ascii="Arial" w:hAnsi="Arial" w:cs="Arial"/>
          <w:sz w:val="20"/>
          <w:szCs w:val="20"/>
          <w:lang w:val="de-DE"/>
        </w:rPr>
      </w:pPr>
    </w:p>
    <w:p w14:paraId="7E2114EC" w14:textId="77777777" w:rsidR="00982F1F" w:rsidRPr="001F7943" w:rsidRDefault="00982F1F" w:rsidP="00982F1F">
      <w:pPr>
        <w:rPr>
          <w:rFonts w:ascii="Arial" w:hAnsi="Arial" w:cs="Arial"/>
          <w:b/>
          <w:bCs/>
          <w:color w:val="000000"/>
          <w:sz w:val="22"/>
          <w:szCs w:val="22"/>
          <w:lang w:val="de-DE"/>
        </w:rPr>
      </w:pPr>
      <w:r w:rsidRPr="001F7943">
        <w:rPr>
          <w:rFonts w:ascii="Arial" w:hAnsi="Arial" w:cs="Arial"/>
          <w:b/>
          <w:bCs/>
          <w:color w:val="000000"/>
          <w:sz w:val="22"/>
          <w:szCs w:val="22"/>
          <w:lang w:val="de-DE"/>
        </w:rPr>
        <w:t>Über die BMW Group</w:t>
      </w:r>
    </w:p>
    <w:p w14:paraId="562CA6F5" w14:textId="77777777" w:rsidR="00982F1F" w:rsidRPr="00A06850" w:rsidRDefault="00982F1F" w:rsidP="00982F1F">
      <w:pPr>
        <w:rPr>
          <w:rFonts w:ascii="Arial" w:hAnsi="Arial" w:cs="Arial"/>
          <w:color w:val="000000"/>
          <w:sz w:val="21"/>
          <w:szCs w:val="21"/>
          <w:lang w:val="de-DE"/>
        </w:rPr>
      </w:pPr>
    </w:p>
    <w:p w14:paraId="0A0DDD59" w14:textId="6D61A36B" w:rsidR="00982F1F" w:rsidRDefault="00982F1F" w:rsidP="00982F1F">
      <w:pPr>
        <w:rPr>
          <w:rFonts w:ascii="Arial" w:hAnsi="Arial" w:cs="Arial"/>
          <w:sz w:val="20"/>
          <w:szCs w:val="20"/>
          <w:lang w:val="de-DE"/>
        </w:rPr>
      </w:pPr>
      <w:r w:rsidRPr="00A06850">
        <w:rPr>
          <w:rFonts w:ascii="Arial" w:hAnsi="Arial" w:cs="Arial"/>
          <w:sz w:val="20"/>
          <w:szCs w:val="20"/>
          <w:lang w:val="de-DE"/>
        </w:rPr>
        <w:t>Die BMW Group ist mit ihren Marken BMW, MINI, Rolls-Royce und BMW Motorrad der weltweit führende Premium-Hersteller von Automobilen und Motorrädern. Das Unternehmen hat frühzeitig die Weichen für die Zukunft gestellt und rückt Nachhaltigkeit und Ressourcenschonung konsequent ins Zentrum seiner Ausrichtung, von der Lieferkette über die Produktion bis zum Ende der Nutzungsphase aller Produkte. Das BMW Group Produktionsnetzwerk umfasst 31 Produktions- und Montagestätten in 15 Ländern; das Unternehmen verfügt über ein globales Vertriebsnetzwerk mit Vertretungen in über 140 Ländern.</w:t>
      </w:r>
    </w:p>
    <w:p w14:paraId="55C72FD0" w14:textId="77777777" w:rsidR="00982F1F" w:rsidRPr="00A06850" w:rsidRDefault="00982F1F" w:rsidP="00982F1F">
      <w:pPr>
        <w:rPr>
          <w:rFonts w:ascii="Arial" w:hAnsi="Arial" w:cs="Arial"/>
          <w:sz w:val="20"/>
          <w:szCs w:val="20"/>
          <w:lang w:val="de-DE"/>
        </w:rPr>
      </w:pPr>
    </w:p>
    <w:p w14:paraId="50F158BA" w14:textId="77777777" w:rsidR="00982F1F" w:rsidRPr="00A06850" w:rsidRDefault="00982F1F" w:rsidP="00982F1F">
      <w:pPr>
        <w:rPr>
          <w:rFonts w:ascii="Arial" w:hAnsi="Arial" w:cs="Arial"/>
          <w:sz w:val="20"/>
          <w:szCs w:val="20"/>
          <w:lang w:val="de-DE"/>
        </w:rPr>
      </w:pPr>
      <w:r w:rsidRPr="00A06850">
        <w:rPr>
          <w:rFonts w:ascii="Arial" w:hAnsi="Arial" w:cs="Arial"/>
          <w:sz w:val="20"/>
          <w:szCs w:val="20"/>
          <w:lang w:val="de-DE"/>
        </w:rPr>
        <w:t>Im Jahr 2021 erzielte die BMW Group einen weltweiten Absatz von mehr als 2,5 Mio. Automobilen und über 194.000 Motorrädern. Das Ergebnis vor Steuern im Geschäftsjahr 2021 belief sich auf 16,1 Mrd. €, der Umsatz auf 111,2 Mrd. €. Zum 31. Dezember beschäftigte das Unternehmen weltweit 118.909 Mitarbeiterinnen und Mitarbeiter.</w:t>
      </w:r>
    </w:p>
    <w:p w14:paraId="55E5B6A7" w14:textId="77777777" w:rsidR="00982F1F" w:rsidRPr="00A06850" w:rsidRDefault="00982F1F" w:rsidP="00982F1F">
      <w:pPr>
        <w:rPr>
          <w:rFonts w:ascii="Arial" w:hAnsi="Arial" w:cs="Arial"/>
          <w:sz w:val="20"/>
          <w:szCs w:val="20"/>
          <w:lang w:val="de-DE"/>
        </w:rPr>
      </w:pPr>
    </w:p>
    <w:p w14:paraId="192DF01E" w14:textId="469BAC5A" w:rsidR="00634EE4" w:rsidRPr="00634EE4" w:rsidRDefault="00982F1F" w:rsidP="00982F1F">
      <w:pPr>
        <w:rPr>
          <w:rFonts w:ascii="Arial" w:eastAsia="DengXian" w:hAnsi="Arial" w:cs="Arial"/>
          <w:sz w:val="20"/>
          <w:szCs w:val="20"/>
          <w:lang w:val="de-DE"/>
        </w:rPr>
      </w:pPr>
      <w:r w:rsidRPr="00A06850">
        <w:rPr>
          <w:rFonts w:ascii="Arial" w:hAnsi="Arial" w:cs="Arial"/>
          <w:sz w:val="20"/>
          <w:szCs w:val="20"/>
          <w:lang w:val="de-DE"/>
        </w:rPr>
        <w:t>Seit jeher sind langfristiges Denken und verantwortungsvolles Handeln die Grundlage des wirtschaftlichen Erfolges der BMW Group. Das Unternehmen hat frühzeitig die Weichen für die Zukunft gestellt und rückt Nachhaltigkeit und Ressourcenschonung konsequent ins Zentrum seiner Ausrichtung, von der Lieferkette über die Produktion bis zum</w:t>
      </w:r>
      <w:r w:rsidR="00064719">
        <w:rPr>
          <w:rFonts w:ascii="Arial" w:hAnsi="Arial" w:cs="Arial"/>
          <w:sz w:val="20"/>
          <w:szCs w:val="20"/>
          <w:lang w:val="de-DE"/>
        </w:rPr>
        <w:t xml:space="preserve"> </w:t>
      </w:r>
      <w:r w:rsidR="00064719" w:rsidRPr="00A06850">
        <w:rPr>
          <w:rFonts w:ascii="Arial" w:hAnsi="Arial" w:cs="Arial"/>
          <w:sz w:val="20"/>
          <w:szCs w:val="20"/>
          <w:lang w:val="de-DE"/>
        </w:rPr>
        <w:t>Ende der Nutzungsphase aller Produkte.</w:t>
      </w:r>
    </w:p>
    <w:p w14:paraId="3F9CF0CD" w14:textId="77777777" w:rsidR="00634EE4" w:rsidRPr="00634EE4" w:rsidRDefault="00634EE4" w:rsidP="00982F1F">
      <w:pPr>
        <w:rPr>
          <w:rFonts w:ascii="Arial" w:eastAsia="DengXian" w:hAnsi="Arial" w:cs="Arial"/>
          <w:sz w:val="20"/>
          <w:szCs w:val="20"/>
          <w:lang w:val="de-AT"/>
        </w:rPr>
      </w:pPr>
    </w:p>
    <w:p w14:paraId="61B4B7B8" w14:textId="49B58121" w:rsidR="00634EE4" w:rsidRPr="00634EE4" w:rsidRDefault="00634EE4" w:rsidP="00982F1F">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982F1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13391B" w:rsidRDefault="00634EE4" w:rsidP="00982F1F">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color w:val="000000" w:themeColor="text1"/>
          <w:sz w:val="20"/>
          <w:szCs w:val="20"/>
          <w:lang w:val="de-AT" w:eastAsia="en-US"/>
        </w:rPr>
        <w:t xml:space="preserve">NTT DATA </w:t>
      </w:r>
      <w:r w:rsidRPr="0013391B">
        <w:rPr>
          <w:rFonts w:ascii="Arial" w:eastAsiaTheme="minorHAnsi" w:hAnsi="Arial" w:cs="Arial"/>
          <w:sz w:val="20"/>
          <w:szCs w:val="20"/>
          <w:lang w:val="de-AT" w:eastAsia="en-US"/>
        </w:rPr>
        <w:t>DACH</w:t>
      </w:r>
    </w:p>
    <w:p w14:paraId="24754F65" w14:textId="3BD12420" w:rsidR="00634EE4" w:rsidRPr="0013391B" w:rsidRDefault="00634EE4" w:rsidP="00982F1F">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sz w:val="20"/>
          <w:szCs w:val="20"/>
          <w:lang w:val="de-AT" w:eastAsia="en-US"/>
        </w:rPr>
        <w:t>Cornelia Spitzer, BA</w:t>
      </w:r>
    </w:p>
    <w:p w14:paraId="4373948E" w14:textId="252C7B36" w:rsidR="00634EE4" w:rsidRPr="0013391B" w:rsidRDefault="00FB6B76" w:rsidP="00982F1F">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sz w:val="20"/>
          <w:szCs w:val="20"/>
          <w:lang w:val="de-AT" w:eastAsia="en-US"/>
        </w:rPr>
        <w:t xml:space="preserve">Press Manager DACH </w:t>
      </w:r>
    </w:p>
    <w:p w14:paraId="4416F4A3" w14:textId="27F9913C" w:rsidR="00634EE4" w:rsidRPr="00FB6B76" w:rsidRDefault="00FB6B76" w:rsidP="00982F1F">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982F1F">
      <w:pPr>
        <w:rPr>
          <w:rFonts w:ascii="Arial" w:hAnsi="Arial" w:cs="Arial"/>
          <w:sz w:val="20"/>
          <w:szCs w:val="20"/>
          <w:lang w:val="de-DE"/>
        </w:rPr>
      </w:pPr>
      <w:r w:rsidRPr="00634EE4">
        <w:rPr>
          <w:rFonts w:ascii="Arial" w:hAnsi="Arial" w:cs="Arial"/>
          <w:sz w:val="20"/>
          <w:szCs w:val="20"/>
          <w:lang w:val="de-DE"/>
        </w:rPr>
        <w:t xml:space="preserve">E-Mail: </w:t>
      </w:r>
      <w:hyperlink r:id="rId11"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982F1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982F1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982F1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5E3785" w:rsidRDefault="005E3785" w:rsidP="00982F1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Gabriela Ölschläger</w:t>
      </w:r>
    </w:p>
    <w:p w14:paraId="2BC464C5" w14:textId="7E2B06C5" w:rsidR="005E3785" w:rsidRPr="002E60BB" w:rsidRDefault="005E3785" w:rsidP="00982F1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2E60BB">
        <w:rPr>
          <w:rFonts w:ascii="Arial" w:eastAsiaTheme="minorHAnsi" w:hAnsi="Arial" w:cs="Arial"/>
          <w:color w:val="000000" w:themeColor="text1"/>
          <w:sz w:val="20"/>
          <w:szCs w:val="20"/>
          <w:lang w:val="en-US" w:eastAsia="en-US"/>
        </w:rPr>
        <w:t>Senior Consultant</w:t>
      </w:r>
    </w:p>
    <w:p w14:paraId="53AFBCC2" w14:textId="5CEF3172" w:rsidR="005E3785" w:rsidRPr="002E60BB" w:rsidRDefault="005E3785" w:rsidP="00982F1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2E60BB">
        <w:rPr>
          <w:rFonts w:ascii="Arial" w:eastAsiaTheme="minorHAnsi" w:hAnsi="Arial" w:cs="Arial"/>
          <w:color w:val="000000" w:themeColor="text1"/>
          <w:sz w:val="20"/>
          <w:szCs w:val="20"/>
          <w:lang w:val="en-US" w:eastAsia="en-US"/>
        </w:rPr>
        <w:t>Tel.: +49 7071 93872 217</w:t>
      </w:r>
    </w:p>
    <w:p w14:paraId="241679E3" w14:textId="4F3169A5" w:rsidR="005E3785" w:rsidRPr="00E07F5C" w:rsidRDefault="005E3785" w:rsidP="00982F1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07F5C">
        <w:rPr>
          <w:rFonts w:ascii="Arial" w:eastAsiaTheme="minorHAnsi" w:hAnsi="Arial" w:cs="Arial"/>
          <w:color w:val="000000" w:themeColor="text1"/>
          <w:sz w:val="20"/>
          <w:szCs w:val="20"/>
          <w:lang w:val="en-US" w:eastAsia="en-US"/>
        </w:rPr>
        <w:t xml:space="preserve">E-Mail: </w:t>
      </w:r>
      <w:hyperlink r:id="rId12" w:history="1">
        <w:r w:rsidRPr="00E07F5C">
          <w:rPr>
            <w:rStyle w:val="Hyperlink"/>
            <w:rFonts w:ascii="Arial" w:eastAsiaTheme="minorHAnsi" w:hAnsi="Arial" w:cs="Arial"/>
            <w:sz w:val="20"/>
            <w:szCs w:val="20"/>
            <w:lang w:val="en-US" w:eastAsia="en-US"/>
          </w:rPr>
          <w:t>g.oelschlaeger@storymaker.de</w:t>
        </w:r>
      </w:hyperlink>
    </w:p>
    <w:sectPr w:rsidR="005E3785" w:rsidRPr="00E07F5C" w:rsidSect="005E3785">
      <w:headerReference w:type="default" r:id="rId13"/>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D3468" w14:textId="77777777" w:rsidR="007E2B34" w:rsidRDefault="007E2B34" w:rsidP="00845677">
      <w:r>
        <w:separator/>
      </w:r>
    </w:p>
  </w:endnote>
  <w:endnote w:type="continuationSeparator" w:id="0">
    <w:p w14:paraId="49E1CB75" w14:textId="77777777" w:rsidR="007E2B34" w:rsidRDefault="007E2B34"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1F589" w14:textId="77777777" w:rsidR="007E2B34" w:rsidRDefault="007E2B34" w:rsidP="00845677">
      <w:r>
        <w:separator/>
      </w:r>
    </w:p>
  </w:footnote>
  <w:footnote w:type="continuationSeparator" w:id="0">
    <w:p w14:paraId="7A9F2DB5" w14:textId="77777777" w:rsidR="007E2B34" w:rsidRDefault="007E2B34"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4C3EC3C1" w:rsidR="00845677" w:rsidRDefault="009E676D" w:rsidP="005E3785">
    <w:pPr>
      <w:pStyle w:val="Kopfzeile"/>
      <w:tabs>
        <w:tab w:val="clear" w:pos="4680"/>
        <w:tab w:val="center" w:pos="4678"/>
      </w:tabs>
      <w:jc w:val="right"/>
      <w:rPr>
        <w:rFonts w:eastAsia="DengXian"/>
      </w:rPr>
    </w:pPr>
    <w:r>
      <w:rPr>
        <w:noProof/>
        <w:lang w:val="de-AT" w:eastAsia="de-AT"/>
      </w:rPr>
      <w:drawing>
        <wp:anchor distT="0" distB="0" distL="114300" distR="114300" simplePos="0" relativeHeight="251661312" behindDoc="0" locked="0" layoutInCell="1" allowOverlap="1" wp14:anchorId="0EA3FA44" wp14:editId="125B1B9B">
          <wp:simplePos x="0" y="0"/>
          <wp:positionH relativeFrom="margin">
            <wp:posOffset>3329940</wp:posOffset>
          </wp:positionH>
          <wp:positionV relativeFrom="margin">
            <wp:posOffset>-755650</wp:posOffset>
          </wp:positionV>
          <wp:extent cx="2194560" cy="755650"/>
          <wp:effectExtent l="0" t="0" r="0" b="6350"/>
          <wp:wrapSquare wrapText="bothSides"/>
          <wp:docPr id="1" name="Grafik 1" descr="CorporateLogo+Tagline_Right_Huma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Logo+Tagline_Right_Human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55650"/>
                  </a:xfrm>
                  <a:prstGeom prst="rect">
                    <a:avLst/>
                  </a:prstGeom>
                  <a:noFill/>
                </pic:spPr>
              </pic:pic>
            </a:graphicData>
          </a:graphic>
          <wp14:sizeRelH relativeFrom="page">
            <wp14:pctWidth>0</wp14:pctWidth>
          </wp14:sizeRelH>
          <wp14:sizeRelV relativeFrom="page">
            <wp14:pctHeight>0</wp14:pctHeight>
          </wp14:sizeRelV>
        </wp:anchor>
      </w:drawing>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4AFDB9AC" w:rsidR="00E33A80" w:rsidRPr="00E33A80" w:rsidRDefault="000A6D44">
                          <w:pPr>
                            <w:rPr>
                              <w:rFonts w:ascii="Arial" w:hAnsi="Arial" w:cs="Arial"/>
                              <w:sz w:val="48"/>
                            </w:rPr>
                          </w:pPr>
                          <w:r>
                            <w:rPr>
                              <w:rFonts w:ascii="Arial" w:hAnsi="Arial" w:cs="Arial"/>
                              <w:sz w:val="48"/>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4AFDB9AC" w:rsidR="00E33A80" w:rsidRPr="00E33A80" w:rsidRDefault="000A6D44">
                    <w:pPr>
                      <w:rPr>
                        <w:rFonts w:ascii="Arial" w:hAnsi="Arial" w:cs="Arial"/>
                        <w:sz w:val="48"/>
                      </w:rPr>
                    </w:pPr>
                    <w:r>
                      <w:rPr>
                        <w:rFonts w:ascii="Arial" w:hAnsi="Arial" w:cs="Arial"/>
                        <w:sz w:val="48"/>
                      </w:rPr>
                      <w:t>Pressemitteilung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2F46"/>
    <w:rsid w:val="000040EF"/>
    <w:rsid w:val="00004306"/>
    <w:rsid w:val="0000481E"/>
    <w:rsid w:val="000061FC"/>
    <w:rsid w:val="0002570A"/>
    <w:rsid w:val="00045132"/>
    <w:rsid w:val="00050764"/>
    <w:rsid w:val="00055472"/>
    <w:rsid w:val="000554F9"/>
    <w:rsid w:val="00064719"/>
    <w:rsid w:val="0006586B"/>
    <w:rsid w:val="000761CB"/>
    <w:rsid w:val="00083D1D"/>
    <w:rsid w:val="00085383"/>
    <w:rsid w:val="000A6D44"/>
    <w:rsid w:val="000F05EC"/>
    <w:rsid w:val="000F2843"/>
    <w:rsid w:val="0013391B"/>
    <w:rsid w:val="001340DE"/>
    <w:rsid w:val="0014776C"/>
    <w:rsid w:val="0015192E"/>
    <w:rsid w:val="00163915"/>
    <w:rsid w:val="00170CFE"/>
    <w:rsid w:val="00172747"/>
    <w:rsid w:val="0017410D"/>
    <w:rsid w:val="00195F33"/>
    <w:rsid w:val="001A3BFF"/>
    <w:rsid w:val="001B6BCC"/>
    <w:rsid w:val="001B78E3"/>
    <w:rsid w:val="001C2956"/>
    <w:rsid w:val="001F025E"/>
    <w:rsid w:val="001F58CB"/>
    <w:rsid w:val="001F7943"/>
    <w:rsid w:val="001F7DD6"/>
    <w:rsid w:val="00204021"/>
    <w:rsid w:val="00210FFD"/>
    <w:rsid w:val="00222328"/>
    <w:rsid w:val="00224C09"/>
    <w:rsid w:val="00225CF6"/>
    <w:rsid w:val="00241516"/>
    <w:rsid w:val="00241E63"/>
    <w:rsid w:val="00251376"/>
    <w:rsid w:val="00263A49"/>
    <w:rsid w:val="0026780F"/>
    <w:rsid w:val="00275ED7"/>
    <w:rsid w:val="00282A01"/>
    <w:rsid w:val="00294B66"/>
    <w:rsid w:val="002C5A8D"/>
    <w:rsid w:val="002D193B"/>
    <w:rsid w:val="002E60BB"/>
    <w:rsid w:val="002F35D4"/>
    <w:rsid w:val="00304F73"/>
    <w:rsid w:val="003408E3"/>
    <w:rsid w:val="003448A0"/>
    <w:rsid w:val="00346FF1"/>
    <w:rsid w:val="00352972"/>
    <w:rsid w:val="00367B23"/>
    <w:rsid w:val="00372DE2"/>
    <w:rsid w:val="00385F71"/>
    <w:rsid w:val="00391391"/>
    <w:rsid w:val="00392DEB"/>
    <w:rsid w:val="00394EF3"/>
    <w:rsid w:val="003A7134"/>
    <w:rsid w:val="003C7BF0"/>
    <w:rsid w:val="003D1278"/>
    <w:rsid w:val="003E0D86"/>
    <w:rsid w:val="003E0F46"/>
    <w:rsid w:val="003E18F3"/>
    <w:rsid w:val="003E29BB"/>
    <w:rsid w:val="003E65B1"/>
    <w:rsid w:val="003E6DED"/>
    <w:rsid w:val="003F0E8F"/>
    <w:rsid w:val="003F6C65"/>
    <w:rsid w:val="00400E53"/>
    <w:rsid w:val="00401A57"/>
    <w:rsid w:val="0040334C"/>
    <w:rsid w:val="00411F2E"/>
    <w:rsid w:val="004161B5"/>
    <w:rsid w:val="004165F7"/>
    <w:rsid w:val="00416B45"/>
    <w:rsid w:val="00423423"/>
    <w:rsid w:val="0044518B"/>
    <w:rsid w:val="0045657E"/>
    <w:rsid w:val="00491448"/>
    <w:rsid w:val="004A1C37"/>
    <w:rsid w:val="004B3088"/>
    <w:rsid w:val="004C31C9"/>
    <w:rsid w:val="004D4D08"/>
    <w:rsid w:val="004E5A72"/>
    <w:rsid w:val="004E761D"/>
    <w:rsid w:val="004F7D33"/>
    <w:rsid w:val="00514B9F"/>
    <w:rsid w:val="0053135E"/>
    <w:rsid w:val="005319EA"/>
    <w:rsid w:val="00536746"/>
    <w:rsid w:val="00553FCF"/>
    <w:rsid w:val="00554410"/>
    <w:rsid w:val="0055763B"/>
    <w:rsid w:val="00567F61"/>
    <w:rsid w:val="005760DF"/>
    <w:rsid w:val="0058228B"/>
    <w:rsid w:val="0058276F"/>
    <w:rsid w:val="00586EA8"/>
    <w:rsid w:val="00594539"/>
    <w:rsid w:val="0059583D"/>
    <w:rsid w:val="005B2391"/>
    <w:rsid w:val="005B5C5D"/>
    <w:rsid w:val="005C6DE8"/>
    <w:rsid w:val="005D257F"/>
    <w:rsid w:val="005E0CD2"/>
    <w:rsid w:val="005E1394"/>
    <w:rsid w:val="005E1D39"/>
    <w:rsid w:val="005E1FA5"/>
    <w:rsid w:val="005E3652"/>
    <w:rsid w:val="005E3785"/>
    <w:rsid w:val="005E6BFE"/>
    <w:rsid w:val="005F4AC5"/>
    <w:rsid w:val="00601B22"/>
    <w:rsid w:val="00605C6D"/>
    <w:rsid w:val="00621FA1"/>
    <w:rsid w:val="00627280"/>
    <w:rsid w:val="006335AF"/>
    <w:rsid w:val="00633AA7"/>
    <w:rsid w:val="006349C7"/>
    <w:rsid w:val="00634EE4"/>
    <w:rsid w:val="00637DC5"/>
    <w:rsid w:val="00641089"/>
    <w:rsid w:val="00643AE8"/>
    <w:rsid w:val="00645BD9"/>
    <w:rsid w:val="0065448D"/>
    <w:rsid w:val="006617CD"/>
    <w:rsid w:val="00662616"/>
    <w:rsid w:val="00667F9C"/>
    <w:rsid w:val="00673251"/>
    <w:rsid w:val="00673AF1"/>
    <w:rsid w:val="00687B19"/>
    <w:rsid w:val="00696277"/>
    <w:rsid w:val="00697665"/>
    <w:rsid w:val="006A1735"/>
    <w:rsid w:val="006A231B"/>
    <w:rsid w:val="006A76B8"/>
    <w:rsid w:val="006B400C"/>
    <w:rsid w:val="006F2297"/>
    <w:rsid w:val="006F2F12"/>
    <w:rsid w:val="00707AD2"/>
    <w:rsid w:val="00711507"/>
    <w:rsid w:val="00720D22"/>
    <w:rsid w:val="00723228"/>
    <w:rsid w:val="007304B4"/>
    <w:rsid w:val="00737219"/>
    <w:rsid w:val="00741B72"/>
    <w:rsid w:val="00752923"/>
    <w:rsid w:val="007541DB"/>
    <w:rsid w:val="007554E0"/>
    <w:rsid w:val="00756BFE"/>
    <w:rsid w:val="00775F40"/>
    <w:rsid w:val="00775F7D"/>
    <w:rsid w:val="00781762"/>
    <w:rsid w:val="00793D20"/>
    <w:rsid w:val="007D292F"/>
    <w:rsid w:val="007E2B34"/>
    <w:rsid w:val="0080387D"/>
    <w:rsid w:val="00814D6F"/>
    <w:rsid w:val="00820376"/>
    <w:rsid w:val="00824297"/>
    <w:rsid w:val="008364AB"/>
    <w:rsid w:val="00841700"/>
    <w:rsid w:val="00845677"/>
    <w:rsid w:val="00856678"/>
    <w:rsid w:val="00880CC5"/>
    <w:rsid w:val="008812C0"/>
    <w:rsid w:val="0088432E"/>
    <w:rsid w:val="0089392A"/>
    <w:rsid w:val="008B6D74"/>
    <w:rsid w:val="008E5D02"/>
    <w:rsid w:val="008F1918"/>
    <w:rsid w:val="00913100"/>
    <w:rsid w:val="00924666"/>
    <w:rsid w:val="00940D63"/>
    <w:rsid w:val="009515DA"/>
    <w:rsid w:val="00955976"/>
    <w:rsid w:val="00970AD0"/>
    <w:rsid w:val="00974932"/>
    <w:rsid w:val="00982F1F"/>
    <w:rsid w:val="0099190B"/>
    <w:rsid w:val="009C19A3"/>
    <w:rsid w:val="009C25CE"/>
    <w:rsid w:val="009D5229"/>
    <w:rsid w:val="009E1E38"/>
    <w:rsid w:val="009E3C0C"/>
    <w:rsid w:val="009E676D"/>
    <w:rsid w:val="009F50C1"/>
    <w:rsid w:val="00A066D4"/>
    <w:rsid w:val="00A079BE"/>
    <w:rsid w:val="00A14128"/>
    <w:rsid w:val="00A20286"/>
    <w:rsid w:val="00A21B41"/>
    <w:rsid w:val="00A23A7B"/>
    <w:rsid w:val="00A33770"/>
    <w:rsid w:val="00A36474"/>
    <w:rsid w:val="00A42A24"/>
    <w:rsid w:val="00A43DB8"/>
    <w:rsid w:val="00A471E1"/>
    <w:rsid w:val="00A53487"/>
    <w:rsid w:val="00A566D7"/>
    <w:rsid w:val="00AA4E93"/>
    <w:rsid w:val="00AC2CF2"/>
    <w:rsid w:val="00AE4889"/>
    <w:rsid w:val="00AF0957"/>
    <w:rsid w:val="00AF4863"/>
    <w:rsid w:val="00AF7114"/>
    <w:rsid w:val="00B02824"/>
    <w:rsid w:val="00B0782F"/>
    <w:rsid w:val="00B1411E"/>
    <w:rsid w:val="00B14ED3"/>
    <w:rsid w:val="00B17FBA"/>
    <w:rsid w:val="00B258B3"/>
    <w:rsid w:val="00B32A38"/>
    <w:rsid w:val="00B45CAC"/>
    <w:rsid w:val="00B54A94"/>
    <w:rsid w:val="00B60BDD"/>
    <w:rsid w:val="00B63711"/>
    <w:rsid w:val="00B8461E"/>
    <w:rsid w:val="00B8672F"/>
    <w:rsid w:val="00B87093"/>
    <w:rsid w:val="00BB374D"/>
    <w:rsid w:val="00BC47EA"/>
    <w:rsid w:val="00BD0F62"/>
    <w:rsid w:val="00BD1CE7"/>
    <w:rsid w:val="00BE0193"/>
    <w:rsid w:val="00BF2AE4"/>
    <w:rsid w:val="00BF6B21"/>
    <w:rsid w:val="00BF6D6B"/>
    <w:rsid w:val="00BF71F3"/>
    <w:rsid w:val="00C03E7B"/>
    <w:rsid w:val="00C13293"/>
    <w:rsid w:val="00C179B4"/>
    <w:rsid w:val="00C20B82"/>
    <w:rsid w:val="00C25E1B"/>
    <w:rsid w:val="00C4035E"/>
    <w:rsid w:val="00C438F8"/>
    <w:rsid w:val="00C44E04"/>
    <w:rsid w:val="00C5250F"/>
    <w:rsid w:val="00C60ECD"/>
    <w:rsid w:val="00C7385E"/>
    <w:rsid w:val="00C871EE"/>
    <w:rsid w:val="00C87AEF"/>
    <w:rsid w:val="00CA00CC"/>
    <w:rsid w:val="00CA2C8D"/>
    <w:rsid w:val="00CD5A3E"/>
    <w:rsid w:val="00CE471C"/>
    <w:rsid w:val="00CE7FC9"/>
    <w:rsid w:val="00D0028A"/>
    <w:rsid w:val="00D00579"/>
    <w:rsid w:val="00D05249"/>
    <w:rsid w:val="00D30A0F"/>
    <w:rsid w:val="00D31D4B"/>
    <w:rsid w:val="00D35710"/>
    <w:rsid w:val="00D45793"/>
    <w:rsid w:val="00D466BE"/>
    <w:rsid w:val="00D5512B"/>
    <w:rsid w:val="00D60826"/>
    <w:rsid w:val="00D65C5B"/>
    <w:rsid w:val="00D82CC2"/>
    <w:rsid w:val="00D84E77"/>
    <w:rsid w:val="00D854B5"/>
    <w:rsid w:val="00D925F8"/>
    <w:rsid w:val="00DA6029"/>
    <w:rsid w:val="00DB3589"/>
    <w:rsid w:val="00DD4BC2"/>
    <w:rsid w:val="00DD7EE6"/>
    <w:rsid w:val="00DE3DD7"/>
    <w:rsid w:val="00E02B25"/>
    <w:rsid w:val="00E07F5C"/>
    <w:rsid w:val="00E10B59"/>
    <w:rsid w:val="00E15A2E"/>
    <w:rsid w:val="00E17153"/>
    <w:rsid w:val="00E2177B"/>
    <w:rsid w:val="00E23197"/>
    <w:rsid w:val="00E30E0A"/>
    <w:rsid w:val="00E31659"/>
    <w:rsid w:val="00E3376A"/>
    <w:rsid w:val="00E33A80"/>
    <w:rsid w:val="00E81DDF"/>
    <w:rsid w:val="00E847C2"/>
    <w:rsid w:val="00E92806"/>
    <w:rsid w:val="00E95598"/>
    <w:rsid w:val="00E974B8"/>
    <w:rsid w:val="00EA48CA"/>
    <w:rsid w:val="00EC5CBE"/>
    <w:rsid w:val="00ED0FF0"/>
    <w:rsid w:val="00F16805"/>
    <w:rsid w:val="00F21AD3"/>
    <w:rsid w:val="00F21F75"/>
    <w:rsid w:val="00F36854"/>
    <w:rsid w:val="00F571DB"/>
    <w:rsid w:val="00F6588A"/>
    <w:rsid w:val="00F84075"/>
    <w:rsid w:val="00F86FCA"/>
    <w:rsid w:val="00F932B4"/>
    <w:rsid w:val="00F93553"/>
    <w:rsid w:val="00F95980"/>
    <w:rsid w:val="00FA016A"/>
    <w:rsid w:val="00FB0B6B"/>
    <w:rsid w:val="00FB6B76"/>
    <w:rsid w:val="00FE26B3"/>
    <w:rsid w:val="00FE2BB4"/>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C13293"/>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A079BE"/>
    <w:rPr>
      <w:color w:val="954F72" w:themeColor="followedHyperlink"/>
      <w:u w:val="single"/>
    </w:rPr>
  </w:style>
  <w:style w:type="paragraph" w:styleId="berarbeitung">
    <w:name w:val="Revision"/>
    <w:hidden/>
    <w:uiPriority w:val="99"/>
    <w:semiHidden/>
    <w:rsid w:val="00F932B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B14ED3"/>
    <w:rPr>
      <w:color w:val="605E5C"/>
      <w:shd w:val="clear" w:color="auto" w:fill="E1DFDD"/>
    </w:rPr>
  </w:style>
  <w:style w:type="character" w:styleId="Hervorhebung">
    <w:name w:val="Emphasis"/>
    <w:basedOn w:val="Absatz-Standardschriftart"/>
    <w:uiPriority w:val="20"/>
    <w:qFormat/>
    <w:rsid w:val="00982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24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872298">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4309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w-golfsport.com/de/topics/tickets-shops/tickets/bmw-international-ope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ttdata.com/global/en/" TargetMode="External"/><Relationship Id="rId12" Type="http://schemas.openxmlformats.org/officeDocument/2006/relationships/hyperlink" Target="mailto:g.oelschlaeger@storyma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nelia.spitzer@nttda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k.nttdata.com/" TargetMode="External"/><Relationship Id="rId4" Type="http://schemas.openxmlformats.org/officeDocument/2006/relationships/webSettings" Target="webSettings.xml"/><Relationship Id="rId9" Type="http://schemas.openxmlformats.org/officeDocument/2006/relationships/hyperlink" Target="https://de.nttdata.com/ueber-ntt-data/sports-sponsorships/bmw-international-op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5592</Characters>
  <Application>Microsoft Office Word</Application>
  <DocSecurity>0</DocSecurity>
  <Lines>46</Lines>
  <Paragraphs>12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3</cp:revision>
  <cp:lastPrinted>2021-07-20T13:21:00Z</cp:lastPrinted>
  <dcterms:created xsi:type="dcterms:W3CDTF">2022-06-07T08:40:00Z</dcterms:created>
  <dcterms:modified xsi:type="dcterms:W3CDTF">2022-06-07T08:41:00Z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